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B00EE">
      <w:pPr>
        <w:spacing w:line="580"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雨花台烈士纪念馆章程</w:t>
      </w:r>
    </w:p>
    <w:p w14:paraId="5F385514">
      <w:pPr>
        <w:spacing w:line="580" w:lineRule="exact"/>
        <w:jc w:val="center"/>
        <w:rPr>
          <w:rFonts w:ascii="黑体" w:eastAsia="黑体" w:cs="黑体"/>
          <w:sz w:val="36"/>
          <w:szCs w:val="36"/>
        </w:rPr>
      </w:pPr>
    </w:p>
    <w:p w14:paraId="7E937877">
      <w:pPr>
        <w:spacing w:line="580" w:lineRule="exact"/>
        <w:jc w:val="center"/>
        <w:rPr>
          <w:rFonts w:ascii="黑体" w:eastAsia="黑体" w:cs="黑体"/>
          <w:sz w:val="36"/>
          <w:szCs w:val="36"/>
        </w:rPr>
      </w:pPr>
      <w:r>
        <w:rPr>
          <w:rFonts w:hint="eastAsia" w:ascii="黑体" w:eastAsia="黑体" w:cs="黑体"/>
          <w:sz w:val="36"/>
          <w:szCs w:val="36"/>
        </w:rPr>
        <w:t>第一章  总则</w:t>
      </w:r>
    </w:p>
    <w:p w14:paraId="6175FA6C">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第一条</w:t>
      </w:r>
      <w:r>
        <w:rPr>
          <w:rFonts w:hint="eastAsia" w:ascii="Times New Roman" w:hAnsi="Times New Roman" w:eastAsia="仿宋_GB2312" w:cs="Times New Roman"/>
          <w:sz w:val="32"/>
          <w:szCs w:val="32"/>
        </w:rPr>
        <w:t xml:space="preserve">  为规范雨花台烈士纪念馆管理，充分发挥纪念先烈、激励</w:t>
      </w:r>
      <w:r>
        <w:rPr>
          <w:rFonts w:ascii="Times New Roman" w:hAnsi="Times New Roman" w:eastAsia="仿宋_GB2312" w:cs="Times New Roman"/>
          <w:sz w:val="32"/>
          <w:szCs w:val="32"/>
        </w:rPr>
        <w:t>后人</w:t>
      </w:r>
      <w:r>
        <w:rPr>
          <w:rFonts w:hint="eastAsia" w:ascii="Times New Roman" w:hAnsi="Times New Roman" w:eastAsia="仿宋_GB2312" w:cs="Times New Roman"/>
          <w:sz w:val="32"/>
          <w:szCs w:val="32"/>
        </w:rPr>
        <w:t>的作用，</w:t>
      </w:r>
      <w:r>
        <w:rPr>
          <w:rFonts w:hint="eastAsia" w:ascii="仿宋_GB2312" w:eastAsia="仿宋_GB2312" w:cs="仿宋_GB2312"/>
          <w:sz w:val="32"/>
          <w:szCs w:val="32"/>
        </w:rPr>
        <w:t>根据</w:t>
      </w:r>
      <w:r>
        <w:rPr>
          <w:rFonts w:hint="eastAsia" w:ascii="仿宋_GB2312" w:eastAsia="仿宋_GB2312" w:cs="仿宋_GB2312"/>
          <w:color w:val="000000"/>
          <w:sz w:val="32"/>
          <w:szCs w:val="32"/>
        </w:rPr>
        <w:t>《中华人民共和国文物保护法》《事业单位登记管理暂行条例》《博物馆条例》</w:t>
      </w:r>
      <w:r>
        <w:rPr>
          <w:rFonts w:hint="eastAsia" w:ascii="仿宋_GB2312" w:eastAsia="仿宋_GB2312" w:cs="仿宋_GB2312"/>
          <w:sz w:val="32"/>
          <w:szCs w:val="32"/>
        </w:rPr>
        <w:t>及其他有关规定</w:t>
      </w:r>
      <w:r>
        <w:rPr>
          <w:rFonts w:hint="eastAsia" w:ascii="Times New Roman" w:hAnsi="Times New Roman" w:eastAsia="仿宋_GB2312" w:cs="Times New Roman"/>
          <w:sz w:val="32"/>
          <w:szCs w:val="32"/>
        </w:rPr>
        <w:t>，制定本章程。</w:t>
      </w:r>
    </w:p>
    <w:p w14:paraId="58C47C13">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第二条</w:t>
      </w:r>
      <w:r>
        <w:rPr>
          <w:rFonts w:hint="eastAsia" w:ascii="Times New Roman" w:hAnsi="Times New Roman" w:eastAsia="仿宋_GB2312" w:cs="Times New Roman"/>
          <w:sz w:val="32"/>
          <w:szCs w:val="32"/>
        </w:rPr>
        <w:t xml:space="preserve">  单位名称：雨花台烈士纪念馆（南京市雨花台烈士陵园管理局），单位地址：南京市雨花台区雨花路215号。</w:t>
      </w:r>
    </w:p>
    <w:p w14:paraId="40287453">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第三条</w:t>
      </w:r>
      <w:r>
        <w:rPr>
          <w:rFonts w:hint="eastAsia" w:ascii="Times New Roman" w:hAnsi="Times New Roman" w:eastAsia="仿宋_GB2312" w:cs="Times New Roman"/>
          <w:sz w:val="32"/>
          <w:szCs w:val="32"/>
        </w:rPr>
        <w:t xml:space="preserve">  雨花台烈士纪念馆法定代表人为雨花台烈士纪念馆馆长。</w:t>
      </w:r>
    </w:p>
    <w:p w14:paraId="78E66ED7">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第四条</w:t>
      </w:r>
      <w:r>
        <w:rPr>
          <w:rFonts w:hint="eastAsia" w:ascii="Times New Roman" w:hAnsi="Times New Roman" w:eastAsia="仿宋_GB2312" w:cs="Times New Roman"/>
          <w:sz w:val="32"/>
          <w:szCs w:val="32"/>
        </w:rPr>
        <w:t xml:space="preserve">  雨花台烈士纪念馆是南京市政府直属事业单位，登记管理机关是南京市事业单位登记管理局。</w:t>
      </w:r>
    </w:p>
    <w:p w14:paraId="35A155AE">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第五条</w:t>
      </w:r>
      <w:r>
        <w:rPr>
          <w:rFonts w:hint="eastAsia" w:ascii="Times New Roman" w:hAnsi="Times New Roman" w:eastAsia="仿宋_GB2312" w:cs="Times New Roman"/>
          <w:sz w:val="32"/>
          <w:szCs w:val="32"/>
        </w:rPr>
        <w:t xml:space="preserve">  雨花台烈士纪念馆是开展爱国主义教育、党性教育和弘扬红色文化的重要场所，是收藏、展示、研究革命文物，宣传和</w:t>
      </w:r>
      <w:r>
        <w:rPr>
          <w:rFonts w:ascii="Times New Roman" w:hAnsi="Times New Roman" w:eastAsia="仿宋_GB2312" w:cs="Times New Roman"/>
          <w:sz w:val="32"/>
          <w:szCs w:val="32"/>
        </w:rPr>
        <w:t>弘扬</w:t>
      </w:r>
      <w:r>
        <w:rPr>
          <w:rFonts w:hint="eastAsia" w:ascii="Times New Roman" w:hAnsi="Times New Roman" w:eastAsia="仿宋_GB2312" w:cs="Times New Roman"/>
          <w:sz w:val="32"/>
          <w:szCs w:val="32"/>
        </w:rPr>
        <w:t>雨花英烈事迹</w:t>
      </w:r>
      <w:r>
        <w:rPr>
          <w:rFonts w:ascii="Times New Roman" w:hAnsi="Times New Roman" w:eastAsia="仿宋_GB2312" w:cs="Times New Roman"/>
          <w:sz w:val="32"/>
          <w:szCs w:val="32"/>
        </w:rPr>
        <w:t>与</w:t>
      </w:r>
      <w:r>
        <w:rPr>
          <w:rFonts w:hint="eastAsia" w:ascii="Times New Roman" w:hAnsi="Times New Roman" w:eastAsia="仿宋_GB2312" w:cs="Times New Roman"/>
          <w:sz w:val="32"/>
          <w:szCs w:val="32"/>
        </w:rPr>
        <w:t>精神，向社会公众开放的非营利性社会服务机构。</w:t>
      </w:r>
    </w:p>
    <w:p w14:paraId="3E8BA322">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第六条</w:t>
      </w:r>
      <w:r>
        <w:rPr>
          <w:rFonts w:hint="eastAsia" w:ascii="Times New Roman" w:hAnsi="Times New Roman" w:eastAsia="仿宋_GB2312" w:cs="Times New Roman"/>
          <w:sz w:val="32"/>
          <w:szCs w:val="32"/>
        </w:rPr>
        <w:t xml:space="preserve">  雨花台烈士纪念馆的宗旨和业务范围是：征集、保管、宣传和研究与雨花英烈有关的文物及史料，通过收藏、保护、研究馆藏文物，充分发掘其中蕴含的丰富红色文化，向公众宣传和</w:t>
      </w:r>
      <w:r>
        <w:rPr>
          <w:rFonts w:ascii="Times New Roman" w:hAnsi="Times New Roman" w:eastAsia="仿宋_GB2312" w:cs="Times New Roman"/>
          <w:sz w:val="32"/>
          <w:szCs w:val="32"/>
        </w:rPr>
        <w:t>弘扬</w:t>
      </w:r>
      <w:r>
        <w:rPr>
          <w:rFonts w:hint="eastAsia" w:ascii="Times New Roman" w:hAnsi="Times New Roman" w:eastAsia="仿宋_GB2312" w:cs="Times New Roman"/>
          <w:sz w:val="32"/>
          <w:szCs w:val="32"/>
        </w:rPr>
        <w:t>雨花英烈事迹</w:t>
      </w:r>
      <w:r>
        <w:rPr>
          <w:rFonts w:ascii="Times New Roman" w:hAnsi="Times New Roman" w:eastAsia="仿宋_GB2312" w:cs="Times New Roman"/>
          <w:sz w:val="32"/>
          <w:szCs w:val="32"/>
        </w:rPr>
        <w:t>与</w:t>
      </w:r>
      <w:r>
        <w:rPr>
          <w:rFonts w:hint="eastAsia" w:ascii="Times New Roman" w:hAnsi="Times New Roman" w:eastAsia="仿宋_GB2312" w:cs="Times New Roman"/>
          <w:sz w:val="32"/>
          <w:szCs w:val="32"/>
        </w:rPr>
        <w:t>精神，促进红色文化遗产保护和文博事业的发展。</w:t>
      </w:r>
    </w:p>
    <w:p w14:paraId="4C08DBE4">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第七条</w:t>
      </w:r>
      <w:r>
        <w:rPr>
          <w:rFonts w:hint="eastAsia" w:ascii="Times New Roman" w:hAnsi="Times New Roman" w:eastAsia="仿宋_GB2312" w:cs="Times New Roman"/>
          <w:sz w:val="32"/>
          <w:szCs w:val="32"/>
        </w:rPr>
        <w:t xml:space="preserve">  本章程自生效之日起，即成为规范纪念馆组织与行为、纪念馆与公众之间权利义务关系的具有法律约束力的文件。</w:t>
      </w:r>
    </w:p>
    <w:p w14:paraId="33F60433">
      <w:pPr>
        <w:spacing w:line="580" w:lineRule="exact"/>
        <w:rPr>
          <w:rFonts w:ascii="Times New Roman" w:hAnsi="Times New Roman" w:eastAsia="仿宋_GB2312" w:cs="Times New Roman"/>
          <w:sz w:val="32"/>
          <w:szCs w:val="32"/>
        </w:rPr>
      </w:pPr>
    </w:p>
    <w:p w14:paraId="6F0818BD">
      <w:pPr>
        <w:spacing w:line="580" w:lineRule="exact"/>
        <w:jc w:val="center"/>
        <w:rPr>
          <w:rFonts w:ascii="黑体" w:eastAsia="黑体" w:cs="黑体"/>
          <w:sz w:val="36"/>
          <w:szCs w:val="36"/>
        </w:rPr>
      </w:pPr>
      <w:r>
        <w:rPr>
          <w:rFonts w:hint="eastAsia" w:ascii="黑体" w:eastAsia="黑体" w:cs="黑体"/>
          <w:sz w:val="36"/>
          <w:szCs w:val="36"/>
        </w:rPr>
        <w:t>第二章  组织机构</w:t>
      </w:r>
    </w:p>
    <w:p w14:paraId="7398C74F">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第八条</w:t>
      </w:r>
      <w:r>
        <w:rPr>
          <w:rFonts w:hint="eastAsia" w:ascii="Times New Roman" w:hAnsi="Times New Roman" w:eastAsia="仿宋_GB2312" w:cs="Times New Roman"/>
          <w:sz w:val="32"/>
          <w:szCs w:val="32"/>
        </w:rPr>
        <w:t xml:space="preserve">  雨花台烈士纪念馆的上级主管部门是中共南京市委宣传部，纪念馆领导班子成员由南京市委市政府考核任命。</w:t>
      </w:r>
    </w:p>
    <w:p w14:paraId="1BED9E82">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第九条</w:t>
      </w:r>
      <w:r>
        <w:rPr>
          <w:rFonts w:hint="eastAsia" w:ascii="Times New Roman" w:hAnsi="Times New Roman" w:eastAsia="仿宋_GB2312" w:cs="Times New Roman"/>
          <w:sz w:val="32"/>
          <w:szCs w:val="32"/>
        </w:rPr>
        <w:t xml:space="preserve">  雨花台烈士纪念馆（南京市雨花台烈士陵园管理局）下设1</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个部门。</w:t>
      </w:r>
    </w:p>
    <w:p w14:paraId="2156E370">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第十条</w:t>
      </w:r>
      <w:r>
        <w:rPr>
          <w:rFonts w:hint="eastAsia" w:ascii="Times New Roman" w:hAnsi="Times New Roman" w:eastAsia="仿宋_GB2312" w:cs="Times New Roman"/>
          <w:sz w:val="32"/>
          <w:szCs w:val="32"/>
        </w:rPr>
        <w:t xml:space="preserve">  雨花台烈士纪念馆的决策、监督由理事会、监事会决定，日常工作由党组会、局长办公会研究决定，根据雨花台烈士纪念馆宗旨制定发展规划、工作计划和课题设置，编制经费预算和经费使用计划。</w:t>
      </w:r>
    </w:p>
    <w:p w14:paraId="6ABB8375">
      <w:pPr>
        <w:spacing w:line="580" w:lineRule="exact"/>
        <w:rPr>
          <w:rFonts w:ascii="Times New Roman" w:hAnsi="Times New Roman" w:eastAsia="仿宋_GB2312" w:cs="Times New Roman"/>
          <w:sz w:val="32"/>
          <w:szCs w:val="32"/>
        </w:rPr>
      </w:pPr>
    </w:p>
    <w:p w14:paraId="6B4C4B22">
      <w:pPr>
        <w:spacing w:line="580" w:lineRule="exact"/>
        <w:jc w:val="center"/>
        <w:rPr>
          <w:rFonts w:ascii="黑体" w:eastAsia="黑体" w:cs="黑体"/>
          <w:sz w:val="36"/>
          <w:szCs w:val="36"/>
        </w:rPr>
      </w:pPr>
      <w:r>
        <w:rPr>
          <w:rFonts w:hint="eastAsia" w:ascii="黑体" w:eastAsia="黑体" w:cs="黑体"/>
          <w:sz w:val="36"/>
          <w:szCs w:val="36"/>
        </w:rPr>
        <w:t>第三章  藏品管理</w:t>
      </w:r>
    </w:p>
    <w:p w14:paraId="67523082">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第十一条</w:t>
      </w:r>
      <w:r>
        <w:rPr>
          <w:rFonts w:hint="eastAsia" w:ascii="Times New Roman" w:hAnsi="Times New Roman" w:eastAsia="仿宋_GB2312" w:cs="Times New Roman"/>
          <w:sz w:val="32"/>
          <w:szCs w:val="32"/>
        </w:rPr>
        <w:t xml:space="preserve">  雨花台烈士纪念馆通过采集、征集、购买、交换、接受捐赠和调拨等方式取得藏品。纪念馆建立的藏品总帐、分类帐以及每件藏品的档案须报上级文物主管部门备案。</w:t>
      </w:r>
    </w:p>
    <w:p w14:paraId="025217CB">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第十二条</w:t>
      </w:r>
      <w:r>
        <w:rPr>
          <w:rFonts w:hint="eastAsia" w:ascii="Times New Roman" w:hAnsi="Times New Roman" w:eastAsia="仿宋_GB2312" w:cs="Times New Roman"/>
          <w:sz w:val="32"/>
          <w:szCs w:val="32"/>
        </w:rPr>
        <w:t xml:space="preserve">  雨花台烈士纪念馆依法对藏品按照历史、艺术和科学价值确定等级，并接受上级文物主管部门对珍贵藏品进行复核。</w:t>
      </w:r>
    </w:p>
    <w:p w14:paraId="4E452368">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第十</w:t>
      </w:r>
      <w:r>
        <w:rPr>
          <w:rFonts w:ascii="Times New Roman" w:hAnsi="Times New Roman" w:eastAsia="仿宋_GB2312" w:cs="Times New Roman"/>
          <w:b/>
          <w:bCs/>
          <w:sz w:val="32"/>
          <w:szCs w:val="32"/>
        </w:rPr>
        <w:t>三</w:t>
      </w:r>
      <w:r>
        <w:rPr>
          <w:rFonts w:hint="eastAsia" w:ascii="Times New Roman" w:hAnsi="Times New Roman" w:eastAsia="仿宋_GB2312" w:cs="Times New Roman"/>
          <w:b/>
          <w:bCs/>
          <w:sz w:val="32"/>
          <w:szCs w:val="32"/>
        </w:rPr>
        <w:t>条</w:t>
      </w:r>
      <w:r>
        <w:rPr>
          <w:rFonts w:hint="eastAsia" w:ascii="Times New Roman" w:hAnsi="Times New Roman" w:eastAsia="仿宋_GB2312" w:cs="Times New Roman"/>
          <w:sz w:val="32"/>
          <w:szCs w:val="32"/>
        </w:rPr>
        <w:t xml:space="preserve">  雨花台烈士纪念馆具备保障藏品安全的设备和设施，对藏品负有科学管理、保护、研究和提供使用的责任。</w:t>
      </w:r>
    </w:p>
    <w:p w14:paraId="1B3B2861">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第十</w:t>
      </w:r>
      <w:r>
        <w:rPr>
          <w:rFonts w:ascii="Times New Roman" w:hAnsi="Times New Roman" w:eastAsia="仿宋_GB2312" w:cs="Times New Roman"/>
          <w:b/>
          <w:bCs/>
          <w:sz w:val="32"/>
          <w:szCs w:val="32"/>
        </w:rPr>
        <w:t>四</w:t>
      </w:r>
      <w:r>
        <w:rPr>
          <w:rFonts w:hint="eastAsia" w:ascii="Times New Roman" w:hAnsi="Times New Roman" w:eastAsia="仿宋_GB2312" w:cs="Times New Roman"/>
          <w:b/>
          <w:bCs/>
          <w:sz w:val="32"/>
          <w:szCs w:val="32"/>
        </w:rPr>
        <w:t>条</w:t>
      </w:r>
      <w:r>
        <w:rPr>
          <w:rFonts w:hint="eastAsia" w:ascii="Times New Roman" w:hAnsi="Times New Roman" w:eastAsia="仿宋_GB2312" w:cs="Times New Roman"/>
          <w:sz w:val="32"/>
          <w:szCs w:val="32"/>
        </w:rPr>
        <w:t xml:space="preserve">  雨花台烈士纪念馆的法定代表人对藏品安全承担责任，法定代表人离任时应当办理藏品移交手续。</w:t>
      </w:r>
    </w:p>
    <w:p w14:paraId="3AA19DA9">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第十</w:t>
      </w:r>
      <w:r>
        <w:rPr>
          <w:rFonts w:ascii="Times New Roman" w:hAnsi="Times New Roman" w:eastAsia="仿宋_GB2312" w:cs="Times New Roman"/>
          <w:b/>
          <w:bCs/>
          <w:sz w:val="32"/>
          <w:szCs w:val="32"/>
        </w:rPr>
        <w:t>五</w:t>
      </w:r>
      <w:r>
        <w:rPr>
          <w:rFonts w:hint="eastAsia" w:ascii="Times New Roman" w:hAnsi="Times New Roman" w:eastAsia="仿宋_GB2312" w:cs="Times New Roman"/>
          <w:b/>
          <w:bCs/>
          <w:sz w:val="32"/>
          <w:szCs w:val="32"/>
        </w:rPr>
        <w:t>条</w:t>
      </w:r>
      <w:r>
        <w:rPr>
          <w:rFonts w:hint="eastAsia" w:ascii="Times New Roman" w:hAnsi="Times New Roman" w:eastAsia="仿宋_GB2312" w:cs="Times New Roman"/>
          <w:sz w:val="32"/>
          <w:szCs w:val="32"/>
        </w:rPr>
        <w:t xml:space="preserve">  不够收藏标准或因腐蚀损毁等原因无法修复且无继续保存价值的藏品，经雨花台</w:t>
      </w:r>
      <w:r>
        <w:rPr>
          <w:rFonts w:ascii="Times New Roman" w:hAnsi="Times New Roman" w:eastAsia="仿宋_GB2312" w:cs="Times New Roman"/>
          <w:sz w:val="32"/>
          <w:szCs w:val="32"/>
        </w:rPr>
        <w:t>烈士</w:t>
      </w:r>
      <w:r>
        <w:rPr>
          <w:rFonts w:hint="eastAsia" w:ascii="Times New Roman" w:hAnsi="Times New Roman" w:eastAsia="仿宋_GB2312" w:cs="Times New Roman"/>
          <w:sz w:val="32"/>
          <w:szCs w:val="32"/>
        </w:rPr>
        <w:t>纪念馆委托的专家委员会评估认定后，可向上级文物主管部门申请退出馆藏。</w:t>
      </w:r>
    </w:p>
    <w:p w14:paraId="14AA76FB">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藏品退出馆藏的申请材料内容应包括：拟不再收藏藏品的名称、数量和退出馆藏的原因，并附有关藏品档案复制件。</w:t>
      </w:r>
    </w:p>
    <w:p w14:paraId="1F3615C2">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第十</w:t>
      </w:r>
      <w:r>
        <w:rPr>
          <w:rFonts w:ascii="Times New Roman" w:hAnsi="Times New Roman" w:eastAsia="仿宋_GB2312" w:cs="Times New Roman"/>
          <w:b/>
          <w:bCs/>
          <w:sz w:val="32"/>
          <w:szCs w:val="32"/>
        </w:rPr>
        <w:t>六</w:t>
      </w:r>
      <w:r>
        <w:rPr>
          <w:rFonts w:hint="eastAsia" w:ascii="Times New Roman" w:hAnsi="Times New Roman" w:eastAsia="仿宋_GB2312" w:cs="Times New Roman"/>
          <w:b/>
          <w:bCs/>
          <w:sz w:val="32"/>
          <w:szCs w:val="32"/>
        </w:rPr>
        <w:t>条</w:t>
      </w:r>
      <w:r>
        <w:rPr>
          <w:rFonts w:hint="eastAsia" w:ascii="Times New Roman" w:hAnsi="Times New Roman" w:eastAsia="仿宋_GB2312" w:cs="Times New Roman"/>
          <w:sz w:val="32"/>
          <w:szCs w:val="32"/>
        </w:rPr>
        <w:t xml:space="preserve">  藏品退出馆藏申请由上级文物主管部门组织专家委员会进行审议，如专家委员会审议不同意，须终止藏品退出馆藏程序。</w:t>
      </w:r>
    </w:p>
    <w:p w14:paraId="203EBD02">
      <w:pPr>
        <w:spacing w:line="580" w:lineRule="exact"/>
        <w:rPr>
          <w:rFonts w:ascii="Times New Roman" w:hAnsi="Times New Roman" w:eastAsia="仿宋_GB2312" w:cs="Times New Roman"/>
          <w:sz w:val="32"/>
          <w:szCs w:val="32"/>
        </w:rPr>
      </w:pPr>
    </w:p>
    <w:p w14:paraId="3E766F08">
      <w:pPr>
        <w:spacing w:line="580" w:lineRule="exact"/>
        <w:jc w:val="center"/>
        <w:rPr>
          <w:rFonts w:ascii="黑体" w:eastAsia="黑体" w:cs="黑体"/>
          <w:sz w:val="36"/>
          <w:szCs w:val="36"/>
        </w:rPr>
      </w:pPr>
      <w:r>
        <w:rPr>
          <w:rFonts w:hint="eastAsia" w:ascii="黑体" w:eastAsia="黑体" w:cs="黑体"/>
          <w:sz w:val="36"/>
          <w:szCs w:val="36"/>
        </w:rPr>
        <w:t>第四章  展示与服务</w:t>
      </w:r>
    </w:p>
    <w:p w14:paraId="33B4E707">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第十</w:t>
      </w:r>
      <w:r>
        <w:rPr>
          <w:rFonts w:ascii="Times New Roman" w:hAnsi="Times New Roman" w:eastAsia="仿宋_GB2312" w:cs="Times New Roman"/>
          <w:b/>
          <w:bCs/>
          <w:sz w:val="32"/>
          <w:szCs w:val="32"/>
        </w:rPr>
        <w:t>七</w:t>
      </w:r>
      <w:r>
        <w:rPr>
          <w:rFonts w:hint="eastAsia" w:ascii="Times New Roman" w:hAnsi="Times New Roman" w:eastAsia="仿宋_GB2312" w:cs="Times New Roman"/>
          <w:b/>
          <w:bCs/>
          <w:sz w:val="32"/>
          <w:szCs w:val="32"/>
        </w:rPr>
        <w:t>条</w:t>
      </w:r>
      <w:r>
        <w:rPr>
          <w:rFonts w:hint="eastAsia" w:ascii="Times New Roman" w:hAnsi="Times New Roman" w:eastAsia="仿宋_GB2312" w:cs="Times New Roman"/>
          <w:sz w:val="32"/>
          <w:szCs w:val="32"/>
        </w:rPr>
        <w:t xml:space="preserve">  雨花台</w:t>
      </w:r>
      <w:r>
        <w:rPr>
          <w:rFonts w:ascii="Times New Roman" w:hAnsi="Times New Roman" w:eastAsia="仿宋_GB2312" w:cs="Times New Roman"/>
          <w:sz w:val="32"/>
          <w:szCs w:val="32"/>
        </w:rPr>
        <w:t>烈士</w:t>
      </w:r>
      <w:r>
        <w:rPr>
          <w:rFonts w:hint="eastAsia" w:ascii="Times New Roman" w:hAnsi="Times New Roman" w:eastAsia="仿宋_GB2312" w:cs="Times New Roman"/>
          <w:sz w:val="32"/>
          <w:szCs w:val="32"/>
        </w:rPr>
        <w:t>纪念馆举办陈列展览应遵循以下原则：</w:t>
      </w:r>
    </w:p>
    <w:p w14:paraId="38A7C4A3">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（一）坚持正确政治方向，弘扬红色文化</w:t>
      </w:r>
      <w:r>
        <w:rPr>
          <w:rFonts w:ascii="Times New Roman" w:hAnsi="Times New Roman" w:eastAsia="仿宋_GB2312" w:cs="Times New Roman"/>
          <w:sz w:val="32"/>
          <w:szCs w:val="32"/>
        </w:rPr>
        <w:t>、传承红色基因，</w:t>
      </w:r>
      <w:r>
        <w:rPr>
          <w:rFonts w:hint="eastAsia" w:ascii="Times New Roman" w:hAnsi="Times New Roman" w:eastAsia="仿宋_GB2312" w:cs="Times New Roman"/>
          <w:sz w:val="32"/>
          <w:szCs w:val="32"/>
        </w:rPr>
        <w:t>践行社会主义核心价值观。</w:t>
      </w:r>
    </w:p>
    <w:p w14:paraId="1622FCB4">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（二）与雨花台烈士纪念馆性质相适应，突出雨花台烈士纪念馆藏品特色、行业特性和区域特点，具备较高的学术水平；</w:t>
      </w:r>
    </w:p>
    <w:p w14:paraId="7A47DAC9">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（三）合理运用现代化技术、材料、工艺和表现手法，</w:t>
      </w:r>
      <w:r>
        <w:rPr>
          <w:rFonts w:ascii="Times New Roman" w:hAnsi="Times New Roman" w:eastAsia="仿宋_GB2312" w:cs="Times New Roman"/>
          <w:sz w:val="32"/>
          <w:szCs w:val="32"/>
        </w:rPr>
        <w:t>达到</w:t>
      </w:r>
      <w:r>
        <w:rPr>
          <w:rFonts w:hint="eastAsia" w:ascii="Times New Roman" w:hAnsi="Times New Roman" w:eastAsia="仿宋_GB2312" w:cs="Times New Roman"/>
          <w:sz w:val="32"/>
          <w:szCs w:val="32"/>
        </w:rPr>
        <w:t>形式与内容</w:t>
      </w:r>
      <w:r>
        <w:rPr>
          <w:rFonts w:ascii="Times New Roman" w:hAnsi="Times New Roman" w:eastAsia="仿宋_GB2312" w:cs="Times New Roman"/>
          <w:sz w:val="32"/>
          <w:szCs w:val="32"/>
        </w:rPr>
        <w:t>的和谐统一</w:t>
      </w:r>
      <w:r>
        <w:rPr>
          <w:rFonts w:hint="eastAsia" w:ascii="Times New Roman" w:hAnsi="Times New Roman" w:eastAsia="仿宋_GB2312" w:cs="Times New Roman"/>
          <w:sz w:val="32"/>
          <w:szCs w:val="32"/>
        </w:rPr>
        <w:t>；</w:t>
      </w:r>
    </w:p>
    <w:p w14:paraId="38036BEB">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（四）复原陈列应当保持历史原貌，合理使用复制品、仿制品和辅助展品；</w:t>
      </w:r>
    </w:p>
    <w:p w14:paraId="4FF11A21">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（五）展厅内具备符合标准的安全技术防范设备和防止展品遭受自然损害的展出设施；</w:t>
      </w:r>
    </w:p>
    <w:p w14:paraId="7944D8C8">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（六）为公众提供文字说明和讲解服务；</w:t>
      </w:r>
    </w:p>
    <w:p w14:paraId="692496E9">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（七）陈列展览的对外宣传应及时、准确、形式新颖。</w:t>
      </w:r>
    </w:p>
    <w:p w14:paraId="5F32099F">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w:t>
      </w:r>
      <w:r>
        <w:rPr>
          <w:rFonts w:ascii="Times New Roman" w:hAnsi="Times New Roman" w:eastAsia="仿宋_GB2312" w:cs="Times New Roman"/>
          <w:b/>
          <w:bCs/>
          <w:sz w:val="32"/>
          <w:szCs w:val="32"/>
        </w:rPr>
        <w:t>十八</w:t>
      </w:r>
      <w:r>
        <w:rPr>
          <w:rFonts w:hint="eastAsia" w:ascii="Times New Roman" w:hAnsi="Times New Roman" w:eastAsia="仿宋_GB2312" w:cs="Times New Roman"/>
          <w:b/>
          <w:bCs/>
          <w:sz w:val="32"/>
          <w:szCs w:val="32"/>
        </w:rPr>
        <w:t>条</w:t>
      </w:r>
      <w:r>
        <w:rPr>
          <w:rFonts w:hint="eastAsia" w:ascii="Times New Roman" w:hAnsi="Times New Roman" w:eastAsia="仿宋_GB2312" w:cs="Times New Roman"/>
          <w:sz w:val="32"/>
          <w:szCs w:val="32"/>
        </w:rPr>
        <w:t xml:space="preserve">  根据雨花台烈士纪念馆宗旨，结合雨花台烈士纪念馆特点开展形式多样的社会教育服务活动，积极参与社区文化建设，利用多种途径宣传藏品知识、陈列展览和研究成果。</w:t>
      </w:r>
    </w:p>
    <w:p w14:paraId="324E74C2">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w:t>
      </w:r>
      <w:r>
        <w:rPr>
          <w:rFonts w:ascii="Times New Roman" w:hAnsi="Times New Roman" w:eastAsia="仿宋_GB2312" w:cs="Times New Roman"/>
          <w:b/>
          <w:bCs/>
          <w:sz w:val="32"/>
          <w:szCs w:val="32"/>
        </w:rPr>
        <w:t>十九</w:t>
      </w:r>
      <w:r>
        <w:rPr>
          <w:rFonts w:hint="eastAsia" w:ascii="Times New Roman" w:hAnsi="Times New Roman" w:eastAsia="仿宋_GB2312" w:cs="Times New Roman"/>
          <w:b/>
          <w:bCs/>
          <w:sz w:val="32"/>
          <w:szCs w:val="32"/>
        </w:rPr>
        <w:t>条</w:t>
      </w:r>
      <w:r>
        <w:rPr>
          <w:rFonts w:hint="eastAsia" w:ascii="Times New Roman" w:hAnsi="Times New Roman" w:eastAsia="仿宋_GB2312" w:cs="Times New Roman"/>
          <w:sz w:val="32"/>
          <w:szCs w:val="32"/>
        </w:rPr>
        <w:t xml:space="preserve">  鼓励研发红色文化产品，开展专业培训、科研成果转化等形式的服务。</w:t>
      </w:r>
    </w:p>
    <w:p w14:paraId="0C5AF85B">
      <w:pPr>
        <w:spacing w:line="580" w:lineRule="exact"/>
        <w:ind w:firstLine="640" w:firstLineChars="200"/>
        <w:rPr>
          <w:rFonts w:ascii="Times New Roman" w:hAnsi="Times New Roman" w:eastAsia="仿宋_GB2312" w:cs="Times New Roman"/>
          <w:sz w:val="32"/>
          <w:szCs w:val="32"/>
        </w:rPr>
      </w:pPr>
    </w:p>
    <w:p w14:paraId="7098931B">
      <w:pPr>
        <w:spacing w:line="580" w:lineRule="exact"/>
        <w:jc w:val="center"/>
        <w:rPr>
          <w:rFonts w:ascii="黑体" w:eastAsia="黑体" w:cs="黑体"/>
          <w:sz w:val="36"/>
          <w:szCs w:val="36"/>
        </w:rPr>
      </w:pPr>
      <w:r>
        <w:rPr>
          <w:rFonts w:hint="eastAsia" w:ascii="黑体" w:eastAsia="黑体" w:cs="黑体"/>
          <w:sz w:val="36"/>
          <w:szCs w:val="36"/>
        </w:rPr>
        <w:t>第五章  资产管理</w:t>
      </w:r>
    </w:p>
    <w:p w14:paraId="239F35CA">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第二十条</w:t>
      </w:r>
      <w:r>
        <w:rPr>
          <w:rFonts w:hint="eastAsia" w:ascii="Times New Roman" w:hAnsi="Times New Roman" w:eastAsia="仿宋_GB2312" w:cs="Times New Roman"/>
          <w:sz w:val="32"/>
          <w:szCs w:val="32"/>
        </w:rPr>
        <w:t xml:space="preserve">  雨花台烈士纪念馆的合法资产受法律保护，任何单位、个人不得侵占、私分、挪用。</w:t>
      </w:r>
    </w:p>
    <w:p w14:paraId="3E3EB77A">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第二十一条</w:t>
      </w:r>
      <w:r>
        <w:rPr>
          <w:rFonts w:hint="eastAsia" w:ascii="Times New Roman" w:hAnsi="Times New Roman" w:eastAsia="仿宋_GB2312" w:cs="Times New Roman"/>
          <w:sz w:val="32"/>
          <w:szCs w:val="32"/>
        </w:rPr>
        <w:t xml:space="preserve">  雨花台烈士纪念馆的经费必须用于章程规定的业务范围和事业发展，并依照国家法律、行政法规和财政主管部门的规定建立财务、审计制度。</w:t>
      </w:r>
    </w:p>
    <w:p w14:paraId="52B8B008">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第二十二条</w:t>
      </w:r>
      <w:r>
        <w:rPr>
          <w:rFonts w:hint="eastAsia" w:ascii="Times New Roman" w:hAnsi="Times New Roman" w:eastAsia="仿宋_GB2312" w:cs="Times New Roman"/>
          <w:sz w:val="32"/>
          <w:szCs w:val="32"/>
        </w:rPr>
        <w:t xml:space="preserve">  雨花台烈士纪念馆保证财务资料真实、准确、完整，接受政府财税部门的监督，接受上级部门指定的审计机构的审计。</w:t>
      </w:r>
    </w:p>
    <w:p w14:paraId="7591B2C6">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第二十三条</w:t>
      </w:r>
      <w:r>
        <w:rPr>
          <w:rFonts w:hint="eastAsia" w:ascii="Times New Roman" w:hAnsi="Times New Roman" w:eastAsia="仿宋_GB2312" w:cs="Times New Roman"/>
          <w:sz w:val="32"/>
          <w:szCs w:val="32"/>
        </w:rPr>
        <w:t xml:space="preserve">  单位人员的工资、社保、福利待遇等按照国家有关规定执行。</w:t>
      </w:r>
    </w:p>
    <w:p w14:paraId="13C10708">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第二十四条</w:t>
      </w:r>
      <w:r>
        <w:rPr>
          <w:rFonts w:hint="eastAsia" w:ascii="Times New Roman" w:hAnsi="Times New Roman" w:eastAsia="仿宋_GB2312" w:cs="Times New Roman"/>
          <w:sz w:val="32"/>
          <w:szCs w:val="32"/>
        </w:rPr>
        <w:t xml:space="preserve">  因</w:t>
      </w:r>
      <w:bookmarkStart w:id="0" w:name="_GoBack"/>
      <w:bookmarkEnd w:id="0"/>
      <w:r>
        <w:rPr>
          <w:rFonts w:hint="eastAsia" w:ascii="Times New Roman" w:hAnsi="Times New Roman" w:eastAsia="仿宋_GB2312" w:cs="Times New Roman"/>
          <w:sz w:val="32"/>
          <w:szCs w:val="32"/>
        </w:rPr>
        <w:t>不可抗</w:t>
      </w:r>
      <w:r>
        <w:rPr>
          <w:rFonts w:hint="eastAsia" w:ascii="Times New Roman" w:eastAsia="仿宋_GB2312" w:cs="Times New Roman"/>
          <w:sz w:val="32"/>
          <w:szCs w:val="32"/>
          <w:lang w:val="en-US" w:eastAsia="zh-CN"/>
        </w:rPr>
        <w:t>力</w:t>
      </w:r>
      <w:r>
        <w:rPr>
          <w:rFonts w:hint="eastAsia" w:ascii="Times New Roman" w:hAnsi="Times New Roman" w:eastAsia="仿宋_GB2312" w:cs="Times New Roman"/>
          <w:sz w:val="32"/>
          <w:szCs w:val="32"/>
        </w:rPr>
        <w:t>因素造成的雨花台烈士纪念馆工作终止，所有财物按照国家有关规定归国家所有。</w:t>
      </w:r>
    </w:p>
    <w:p w14:paraId="4B17AF0F">
      <w:pPr>
        <w:spacing w:line="580" w:lineRule="exact"/>
        <w:ind w:firstLine="640" w:firstLineChars="200"/>
        <w:rPr>
          <w:rFonts w:ascii="Times New Roman" w:hAnsi="Times New Roman" w:eastAsia="仿宋_GB2312" w:cs="Times New Roman"/>
          <w:sz w:val="32"/>
          <w:szCs w:val="32"/>
        </w:rPr>
      </w:pPr>
    </w:p>
    <w:p w14:paraId="3E33259D">
      <w:pPr>
        <w:keepNext/>
        <w:keepLines/>
        <w:widowControl w:val="0"/>
        <w:spacing w:line="580" w:lineRule="exact"/>
        <w:jc w:val="center"/>
        <w:outlineLvl w:val="1"/>
        <w:rPr>
          <w:rFonts w:ascii="Times New Roman" w:hAnsi="Times New Roman" w:eastAsia="黑体" w:cs="Times New Roman"/>
          <w:sz w:val="36"/>
          <w:szCs w:val="24"/>
        </w:rPr>
      </w:pPr>
      <w:r>
        <w:rPr>
          <w:rFonts w:hint="eastAsia" w:ascii="Times New Roman" w:hAnsi="Times New Roman" w:eastAsia="黑体" w:cs="Times New Roman"/>
          <w:sz w:val="36"/>
          <w:szCs w:val="24"/>
        </w:rPr>
        <w:t>第六章 章程修改</w:t>
      </w:r>
    </w:p>
    <w:p w14:paraId="4BA7DF05">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 xml:space="preserve">第二十五条 </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sz w:val="32"/>
          <w:szCs w:val="32"/>
        </w:rPr>
        <w:t>雨花台烈士</w:t>
      </w:r>
      <w:r>
        <w:rPr>
          <w:rFonts w:ascii="Times New Roman" w:hAnsi="Times New Roman" w:eastAsia="仿宋_GB2312" w:cs="Times New Roman"/>
          <w:sz w:val="32"/>
          <w:szCs w:val="32"/>
        </w:rPr>
        <w:t>纪念馆</w:t>
      </w:r>
      <w:r>
        <w:rPr>
          <w:rFonts w:hint="eastAsia" w:ascii="Times New Roman" w:hAnsi="Times New Roman" w:eastAsia="仿宋_GB2312" w:cs="Times New Roman"/>
          <w:sz w:val="32"/>
          <w:szCs w:val="32"/>
        </w:rPr>
        <w:t>有下列情形之一的，应当修改章程：</w:t>
      </w:r>
    </w:p>
    <w:p w14:paraId="1CBD1BCB">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（一）章程规定的事项与修改后的国家法律、行政法规规定不符的；</w:t>
      </w:r>
    </w:p>
    <w:p w14:paraId="24C9F1C7">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（二）雨花台烈士</w:t>
      </w:r>
      <w:r>
        <w:rPr>
          <w:rFonts w:ascii="Times New Roman" w:hAnsi="Times New Roman" w:eastAsia="仿宋_GB2312" w:cs="Times New Roman"/>
          <w:sz w:val="32"/>
          <w:szCs w:val="24"/>
        </w:rPr>
        <w:t>纪念馆</w:t>
      </w:r>
      <w:r>
        <w:rPr>
          <w:rFonts w:hint="eastAsia" w:ascii="Times New Roman" w:hAnsi="Times New Roman" w:eastAsia="仿宋_GB2312" w:cs="Times New Roman"/>
          <w:sz w:val="32"/>
          <w:szCs w:val="24"/>
        </w:rPr>
        <w:t>实际情况发生变化，与章程记载内容不一致的；</w:t>
      </w:r>
    </w:p>
    <w:p w14:paraId="7BE3F72F">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（三）理事会认为应当修改章程的其他情形。</w:t>
      </w:r>
    </w:p>
    <w:p w14:paraId="43123F92">
      <w:pPr>
        <w:spacing w:line="580" w:lineRule="exact"/>
        <w:ind w:firstLine="643" w:firstLineChars="200"/>
        <w:rPr>
          <w:rFonts w:ascii="Times New Roman" w:hAnsi="Times New Roman" w:eastAsia="仿宋_GB2312" w:cs="Times New Roman"/>
          <w:sz w:val="32"/>
          <w:szCs w:val="24"/>
        </w:rPr>
      </w:pPr>
      <w:r>
        <w:rPr>
          <w:rFonts w:hint="eastAsia" w:ascii="Times New Roman" w:hAnsi="Times New Roman" w:eastAsia="仿宋_GB2312" w:cs="Times New Roman"/>
          <w:b/>
          <w:bCs/>
          <w:sz w:val="32"/>
          <w:szCs w:val="24"/>
        </w:rPr>
        <w:t>第二十六条</w:t>
      </w:r>
      <w:r>
        <w:rPr>
          <w:rFonts w:hint="eastAsia" w:ascii="Times New Roman" w:hAnsi="Times New Roman" w:eastAsia="仿宋_GB2312" w:cs="Times New Roman"/>
          <w:sz w:val="32"/>
          <w:szCs w:val="24"/>
        </w:rPr>
        <w:t xml:space="preserve"> </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理事会建议提出的章程及修改案，经党组会研究后报中共南京市委宣传部审核同意。涉及事业单位法人登记事项的，须向南京市事业单位登记管理局申请变更登记。</w:t>
      </w:r>
    </w:p>
    <w:p w14:paraId="7F03436C">
      <w:pPr>
        <w:spacing w:line="580" w:lineRule="exact"/>
        <w:ind w:firstLine="643" w:firstLineChars="200"/>
        <w:rPr>
          <w:rFonts w:ascii="Times New Roman" w:hAnsi="Times New Roman" w:eastAsia="仿宋_GB2312" w:cs="Times New Roman"/>
          <w:sz w:val="32"/>
          <w:szCs w:val="24"/>
        </w:rPr>
      </w:pPr>
      <w:r>
        <w:rPr>
          <w:rFonts w:hint="eastAsia" w:ascii="Times New Roman" w:hAnsi="Times New Roman" w:eastAsia="仿宋_GB2312" w:cs="Times New Roman"/>
          <w:b/>
          <w:bCs/>
          <w:sz w:val="32"/>
          <w:szCs w:val="24"/>
        </w:rPr>
        <w:t xml:space="preserve">第二十七条 </w:t>
      </w:r>
      <w:r>
        <w:rPr>
          <w:rFonts w:ascii="Times New Roman" w:hAnsi="Times New Roman" w:eastAsia="仿宋_GB2312" w:cs="Times New Roman"/>
          <w:b/>
          <w:bCs/>
          <w:sz w:val="32"/>
          <w:szCs w:val="24"/>
        </w:rPr>
        <w:t xml:space="preserve"> </w:t>
      </w:r>
      <w:r>
        <w:rPr>
          <w:rFonts w:hint="eastAsia" w:ascii="Times New Roman" w:hAnsi="Times New Roman" w:eastAsia="仿宋_GB2312" w:cs="Times New Roman"/>
          <w:sz w:val="32"/>
          <w:szCs w:val="24"/>
        </w:rPr>
        <w:t>涉及本章程主要内容发生重大改变或理事会认为应当进行整体性修改的，需实施整体性修改；其他修改的，采取在原章程后附加相关说明的方式。</w:t>
      </w:r>
    </w:p>
    <w:p w14:paraId="292F3D77">
      <w:pPr>
        <w:spacing w:line="580" w:lineRule="exact"/>
        <w:ind w:firstLine="640" w:firstLineChars="200"/>
        <w:rPr>
          <w:rFonts w:ascii="Times New Roman" w:hAnsi="Times New Roman" w:eastAsia="仿宋_GB2312" w:cs="Times New Roman"/>
          <w:sz w:val="32"/>
          <w:szCs w:val="24"/>
        </w:rPr>
      </w:pPr>
    </w:p>
    <w:p w14:paraId="459AC6F1">
      <w:pPr>
        <w:keepNext/>
        <w:keepLines/>
        <w:widowControl w:val="0"/>
        <w:spacing w:line="580" w:lineRule="exact"/>
        <w:jc w:val="center"/>
        <w:outlineLvl w:val="1"/>
        <w:rPr>
          <w:rFonts w:ascii="Times New Roman" w:hAnsi="Times New Roman" w:eastAsia="黑体" w:cs="Times New Roman"/>
          <w:sz w:val="36"/>
          <w:szCs w:val="24"/>
        </w:rPr>
      </w:pPr>
      <w:r>
        <w:rPr>
          <w:rFonts w:hint="eastAsia" w:ascii="Times New Roman" w:hAnsi="Times New Roman" w:eastAsia="黑体" w:cs="Times New Roman"/>
          <w:sz w:val="36"/>
          <w:szCs w:val="24"/>
        </w:rPr>
        <w:t>第七章 终止和剩余资产处理</w:t>
      </w:r>
    </w:p>
    <w:p w14:paraId="7BCE41DF">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 xml:space="preserve">第二十八条 </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sz w:val="32"/>
          <w:szCs w:val="32"/>
        </w:rPr>
        <w:t>雨花台烈士</w:t>
      </w:r>
      <w:r>
        <w:rPr>
          <w:rFonts w:ascii="Times New Roman" w:hAnsi="Times New Roman" w:eastAsia="仿宋_GB2312" w:cs="Times New Roman"/>
          <w:sz w:val="32"/>
          <w:szCs w:val="32"/>
        </w:rPr>
        <w:t>纪念馆</w:t>
      </w:r>
      <w:r>
        <w:rPr>
          <w:rFonts w:hint="eastAsia" w:ascii="Times New Roman" w:hAnsi="Times New Roman" w:eastAsia="仿宋_GB2312" w:cs="Times New Roman"/>
          <w:sz w:val="32"/>
          <w:szCs w:val="32"/>
        </w:rPr>
        <w:t>有以下情形之一，应当终止：</w:t>
      </w:r>
    </w:p>
    <w:p w14:paraId="22B1C732">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（一）经审批机关决定撤销；</w:t>
      </w:r>
    </w:p>
    <w:p w14:paraId="126E2610">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（二）因合并、分立解散；</w:t>
      </w:r>
    </w:p>
    <w:p w14:paraId="2860186E">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（三）因其他原因依法应当终止的。</w:t>
      </w:r>
    </w:p>
    <w:p w14:paraId="619966FE">
      <w:pPr>
        <w:spacing w:line="580" w:lineRule="exact"/>
        <w:ind w:firstLine="643" w:firstLineChars="200"/>
        <w:rPr>
          <w:rFonts w:ascii="Times New Roman" w:hAnsi="Times New Roman" w:eastAsia="仿宋_GB2312" w:cs="Times New Roman"/>
          <w:sz w:val="32"/>
          <w:szCs w:val="24"/>
        </w:rPr>
      </w:pPr>
      <w:r>
        <w:rPr>
          <w:rFonts w:hint="eastAsia" w:ascii="Times New Roman" w:hAnsi="Times New Roman" w:eastAsia="仿宋_GB2312" w:cs="Times New Roman"/>
          <w:b/>
          <w:bCs/>
          <w:sz w:val="32"/>
          <w:szCs w:val="24"/>
        </w:rPr>
        <w:t xml:space="preserve">第二十九条 </w:t>
      </w:r>
      <w:r>
        <w:rPr>
          <w:rFonts w:ascii="Times New Roman" w:hAnsi="Times New Roman" w:eastAsia="仿宋_GB2312" w:cs="Times New Roman"/>
          <w:b/>
          <w:bCs/>
          <w:sz w:val="32"/>
          <w:szCs w:val="24"/>
        </w:rPr>
        <w:t xml:space="preserve"> </w:t>
      </w:r>
      <w:r>
        <w:rPr>
          <w:rFonts w:hint="eastAsia" w:ascii="Times New Roman" w:hAnsi="Times New Roman" w:eastAsia="仿宋_GB2312" w:cs="Times New Roman"/>
          <w:sz w:val="32"/>
          <w:szCs w:val="24"/>
        </w:rPr>
        <w:t>雨花台烈士</w:t>
      </w:r>
      <w:r>
        <w:rPr>
          <w:rFonts w:ascii="Times New Roman" w:hAnsi="Times New Roman" w:eastAsia="仿宋_GB2312" w:cs="Times New Roman"/>
          <w:sz w:val="32"/>
          <w:szCs w:val="24"/>
        </w:rPr>
        <w:t>纪念馆</w:t>
      </w:r>
      <w:r>
        <w:rPr>
          <w:rFonts w:hint="eastAsia" w:ascii="Times New Roman" w:hAnsi="Times New Roman" w:eastAsia="仿宋_GB2312" w:cs="Times New Roman"/>
          <w:sz w:val="32"/>
          <w:szCs w:val="24"/>
        </w:rPr>
        <w:t>在申请注销登记前，理事会在主管部门和其他有关部门的指导下，成立清算组织，开展清算工作。清算期间不开展清算以外的活动。</w:t>
      </w:r>
    </w:p>
    <w:p w14:paraId="25702BD3">
      <w:pPr>
        <w:spacing w:line="580" w:lineRule="exact"/>
        <w:ind w:firstLine="643" w:firstLineChars="200"/>
        <w:rPr>
          <w:rFonts w:ascii="Times New Roman" w:hAnsi="Times New Roman" w:eastAsia="仿宋_GB2312" w:cs="Times New Roman"/>
          <w:sz w:val="32"/>
          <w:szCs w:val="24"/>
        </w:rPr>
      </w:pPr>
      <w:r>
        <w:rPr>
          <w:rFonts w:hint="eastAsia" w:ascii="Times New Roman" w:hAnsi="Times New Roman" w:eastAsia="仿宋_GB2312" w:cs="Times New Roman"/>
          <w:b/>
          <w:bCs/>
          <w:sz w:val="32"/>
          <w:szCs w:val="24"/>
        </w:rPr>
        <w:t xml:space="preserve">第三十条 </w:t>
      </w:r>
      <w:r>
        <w:rPr>
          <w:rFonts w:ascii="Times New Roman" w:hAnsi="Times New Roman" w:eastAsia="仿宋_GB2312" w:cs="Times New Roman"/>
          <w:b/>
          <w:bCs/>
          <w:sz w:val="32"/>
          <w:szCs w:val="24"/>
        </w:rPr>
        <w:t xml:space="preserve"> </w:t>
      </w:r>
      <w:r>
        <w:rPr>
          <w:rFonts w:hint="eastAsia" w:ascii="Times New Roman" w:hAnsi="Times New Roman" w:eastAsia="仿宋_GB2312" w:cs="Times New Roman"/>
          <w:sz w:val="32"/>
          <w:szCs w:val="24"/>
        </w:rPr>
        <w:t>清算工作结束，应形成清算报告，经理事会通过，报上级部门审查同意后，向南京市事业单位登记管理局申请注销登记。</w:t>
      </w:r>
    </w:p>
    <w:p w14:paraId="65FF15C6">
      <w:pPr>
        <w:spacing w:line="580" w:lineRule="exact"/>
        <w:ind w:firstLine="640" w:firstLineChars="200"/>
        <w:rPr>
          <w:rFonts w:ascii="Times New Roman" w:hAnsi="Times New Roman" w:eastAsia="仿宋_GB2312" w:cs="Times New Roman"/>
          <w:sz w:val="32"/>
          <w:szCs w:val="32"/>
        </w:rPr>
      </w:pPr>
    </w:p>
    <w:p w14:paraId="226960FA">
      <w:pPr>
        <w:spacing w:line="580" w:lineRule="exact"/>
        <w:jc w:val="center"/>
        <w:rPr>
          <w:rFonts w:ascii="黑体" w:eastAsia="黑体" w:cs="黑体"/>
          <w:sz w:val="36"/>
          <w:szCs w:val="36"/>
        </w:rPr>
      </w:pPr>
      <w:r>
        <w:rPr>
          <w:rFonts w:hint="eastAsia" w:ascii="黑体" w:eastAsia="黑体" w:cs="黑体"/>
          <w:sz w:val="36"/>
          <w:szCs w:val="36"/>
        </w:rPr>
        <w:t>第八章  信息披露</w:t>
      </w:r>
    </w:p>
    <w:p w14:paraId="0261C8BD">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第三十一条</w:t>
      </w:r>
      <w:r>
        <w:rPr>
          <w:rFonts w:hint="eastAsia" w:ascii="Times New Roman" w:hAnsi="Times New Roman" w:eastAsia="仿宋_GB2312" w:cs="Times New Roman"/>
          <w:sz w:val="32"/>
          <w:szCs w:val="32"/>
        </w:rPr>
        <w:t xml:space="preserve">  雨花台烈士纪念馆承诺按照国家法律法规和事业单位登记管理机关的规定，真实、完整、及时</w:t>
      </w:r>
      <w:r>
        <w:rPr>
          <w:rFonts w:ascii="Times New Roman" w:hAnsi="Times New Roman" w:eastAsia="仿宋_GB2312" w:cs="Times New Roman"/>
          <w:sz w:val="32"/>
          <w:szCs w:val="32"/>
        </w:rPr>
        <w:t>地披露</w:t>
      </w:r>
      <w:r>
        <w:rPr>
          <w:rFonts w:hint="eastAsia" w:ascii="Times New Roman" w:hAnsi="Times New Roman" w:eastAsia="仿宋_GB2312" w:cs="Times New Roman"/>
          <w:sz w:val="32"/>
          <w:szCs w:val="32"/>
        </w:rPr>
        <w:t>以下信息：</w:t>
      </w:r>
    </w:p>
    <w:p w14:paraId="0716FEF9">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（一）雨花台烈士</w:t>
      </w:r>
      <w:r>
        <w:rPr>
          <w:rFonts w:ascii="Times New Roman" w:hAnsi="Times New Roman" w:eastAsia="仿宋_GB2312" w:cs="Times New Roman"/>
          <w:sz w:val="32"/>
          <w:szCs w:val="32"/>
        </w:rPr>
        <w:t>纪念馆</w:t>
      </w:r>
      <w:r>
        <w:rPr>
          <w:rFonts w:hint="eastAsia" w:ascii="Times New Roman" w:hAnsi="Times New Roman" w:eastAsia="仿宋_GB2312" w:cs="Times New Roman"/>
          <w:sz w:val="32"/>
          <w:szCs w:val="32"/>
        </w:rPr>
        <w:t>机构设置、工作职能、服务范围、工作动态等基本情况及政务信息；</w:t>
      </w:r>
    </w:p>
    <w:p w14:paraId="0C42235B">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（二）雨花台烈士</w:t>
      </w:r>
      <w:r>
        <w:rPr>
          <w:rFonts w:ascii="Times New Roman" w:hAnsi="Times New Roman" w:eastAsia="仿宋_GB2312" w:cs="Times New Roman"/>
          <w:sz w:val="32"/>
          <w:szCs w:val="24"/>
        </w:rPr>
        <w:t>纪念馆</w:t>
      </w:r>
      <w:r>
        <w:rPr>
          <w:rFonts w:hint="eastAsia" w:ascii="Times New Roman" w:hAnsi="Times New Roman" w:eastAsia="仿宋_GB2312" w:cs="Times New Roman"/>
          <w:sz w:val="32"/>
          <w:szCs w:val="24"/>
        </w:rPr>
        <w:t>民主决策、思想建设、组织建设、作风建设、制度建设、反腐倡廉、为民服务等党务信息；</w:t>
      </w:r>
    </w:p>
    <w:p w14:paraId="18A03BC9">
      <w:pPr>
        <w:spacing w:line="580" w:lineRule="exact"/>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（三）雨花台烈士</w:t>
      </w:r>
      <w:r>
        <w:rPr>
          <w:rFonts w:ascii="Times New Roman" w:hAnsi="Times New Roman" w:eastAsia="仿宋_GB2312" w:cs="Times New Roman"/>
          <w:sz w:val="32"/>
          <w:szCs w:val="24"/>
        </w:rPr>
        <w:t>纪念馆</w:t>
      </w:r>
      <w:r>
        <w:rPr>
          <w:rFonts w:hint="eastAsia" w:ascii="Times New Roman" w:hAnsi="Times New Roman" w:eastAsia="仿宋_GB2312" w:cs="Times New Roman"/>
          <w:sz w:val="32"/>
          <w:szCs w:val="24"/>
        </w:rPr>
        <w:t>重大项目的招投标、重要设施设备的采购情况；</w:t>
      </w:r>
    </w:p>
    <w:p w14:paraId="6C0B1E1A">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24"/>
        </w:rPr>
        <w:t>（四）雨花台烈士</w:t>
      </w:r>
      <w:r>
        <w:rPr>
          <w:rFonts w:ascii="Times New Roman" w:hAnsi="Times New Roman" w:eastAsia="仿宋_GB2312" w:cs="Times New Roman"/>
          <w:sz w:val="32"/>
          <w:szCs w:val="24"/>
        </w:rPr>
        <w:t>纪念馆</w:t>
      </w:r>
      <w:r>
        <w:rPr>
          <w:rFonts w:hint="eastAsia" w:ascii="Times New Roman" w:hAnsi="Times New Roman" w:eastAsia="仿宋_GB2312" w:cs="Times New Roman"/>
          <w:sz w:val="32"/>
          <w:szCs w:val="24"/>
        </w:rPr>
        <w:t>人事任免情况以及其他相关规章制度。</w:t>
      </w:r>
    </w:p>
    <w:p w14:paraId="78176E6E">
      <w:pPr>
        <w:spacing w:line="580" w:lineRule="exact"/>
        <w:ind w:firstLine="640" w:firstLineChars="200"/>
        <w:rPr>
          <w:rFonts w:ascii="Times New Roman" w:hAnsi="Times New Roman" w:eastAsia="仿宋_GB2312" w:cs="Times New Roman"/>
          <w:sz w:val="32"/>
          <w:szCs w:val="32"/>
        </w:rPr>
      </w:pPr>
    </w:p>
    <w:p w14:paraId="678BDA05">
      <w:pPr>
        <w:spacing w:line="580" w:lineRule="exact"/>
        <w:jc w:val="center"/>
        <w:rPr>
          <w:rFonts w:ascii="黑体" w:eastAsia="黑体" w:cs="黑体"/>
          <w:sz w:val="36"/>
          <w:szCs w:val="36"/>
        </w:rPr>
      </w:pPr>
      <w:r>
        <w:rPr>
          <w:rFonts w:hint="eastAsia" w:ascii="黑体" w:eastAsia="黑体" w:cs="黑体"/>
          <w:sz w:val="36"/>
          <w:szCs w:val="36"/>
        </w:rPr>
        <w:t>第九章  附则</w:t>
      </w:r>
    </w:p>
    <w:p w14:paraId="361836AC">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第三十二条</w:t>
      </w:r>
      <w:r>
        <w:rPr>
          <w:rFonts w:hint="eastAsia" w:ascii="Times New Roman" w:hAnsi="Times New Roman" w:eastAsia="仿宋_GB2312" w:cs="Times New Roman"/>
          <w:sz w:val="32"/>
          <w:szCs w:val="32"/>
        </w:rPr>
        <w:t xml:space="preserve">  本章程内容如与法律法规、行政规章及国家政策相抵触，应以法律法规、行政规章及国家政策的规定为准。</w:t>
      </w:r>
    </w:p>
    <w:p w14:paraId="3217641F">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第三十三条</w:t>
      </w:r>
      <w:r>
        <w:rPr>
          <w:rFonts w:hint="eastAsia" w:ascii="Times New Roman" w:hAnsi="Times New Roman" w:eastAsia="仿宋_GB2312" w:cs="Times New Roman"/>
          <w:sz w:val="32"/>
          <w:szCs w:val="32"/>
        </w:rPr>
        <w:t xml:space="preserve">  本章程的解释权属于雨花台烈士纪念馆。</w:t>
      </w:r>
    </w:p>
    <w:p w14:paraId="535C3602">
      <w:pPr>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第三十四条</w:t>
      </w:r>
      <w:r>
        <w:rPr>
          <w:rFonts w:hint="eastAsia" w:ascii="Times New Roman" w:hAnsi="Times New Roman" w:eastAsia="仿宋_GB2312" w:cs="Times New Roman"/>
          <w:sz w:val="32"/>
          <w:szCs w:val="32"/>
        </w:rPr>
        <w:t xml:space="preserve">  本章程自上级主管部门审核同意之日起生效。</w:t>
      </w:r>
    </w:p>
    <w:p w14:paraId="0936DED0">
      <w:pPr>
        <w:spacing w:line="580" w:lineRule="exact"/>
        <w:rPr>
          <w:rFonts w:ascii="Times New Roman" w:hAnsi="Times New Roman" w:eastAsia="仿宋_GB2312" w:cs="Times New Roman"/>
          <w:sz w:val="32"/>
          <w:szCs w:val="32"/>
        </w:rPr>
      </w:pPr>
    </w:p>
    <w:p w14:paraId="4A714FF6">
      <w:pPr>
        <w:spacing w:line="580" w:lineRule="exact"/>
        <w:jc w:val="right"/>
        <w:rPr>
          <w:rFonts w:ascii="Times New Roman" w:hAnsi="Times New Roman" w:eastAsia="仿宋_GB2312" w:cs="Times New Roman"/>
          <w:sz w:val="32"/>
          <w:szCs w:val="32"/>
        </w:rPr>
      </w:pPr>
    </w:p>
    <w:p w14:paraId="742FB9CB">
      <w:pPr>
        <w:spacing w:line="580" w:lineRule="exact"/>
        <w:ind w:right="640"/>
        <w:jc w:val="left"/>
        <w:rPr>
          <w:rFonts w:ascii="Times New Roman" w:hAnsi="Times New Roman" w:eastAsia="仿宋_GB2312"/>
          <w:sz w:val="32"/>
          <w:szCs w:val="32"/>
        </w:rPr>
      </w:pPr>
    </w:p>
    <w:p w14:paraId="116DEF90">
      <w:pPr>
        <w:spacing w:line="580" w:lineRule="exact"/>
        <w:ind w:right="640"/>
        <w:jc w:val="left"/>
        <w:rPr>
          <w:rFonts w:ascii="Times New Roman" w:hAnsi="Times New Roman" w:eastAsia="仿宋_GB2312"/>
          <w:sz w:val="32"/>
          <w:szCs w:val="32"/>
        </w:rPr>
      </w:pPr>
    </w:p>
    <w:p w14:paraId="5A5D3C02">
      <w:pPr>
        <w:spacing w:line="580" w:lineRule="exact"/>
        <w:ind w:right="640"/>
        <w:jc w:val="left"/>
        <w:rPr>
          <w:rFonts w:ascii="Times New Roman" w:hAnsi="Times New Roman" w:eastAsia="仿宋_GB2312"/>
          <w:sz w:val="32"/>
          <w:szCs w:val="32"/>
        </w:rPr>
      </w:pPr>
    </w:p>
    <w:p w14:paraId="3E8AF905">
      <w:pPr>
        <w:spacing w:line="580" w:lineRule="exact"/>
        <w:ind w:right="640"/>
        <w:jc w:val="left"/>
        <w:rPr>
          <w:rFonts w:ascii="Times New Roman" w:hAnsi="Times New Roman" w:eastAsia="仿宋_GB2312"/>
          <w:sz w:val="32"/>
          <w:szCs w:val="32"/>
        </w:rPr>
      </w:pPr>
    </w:p>
    <w:sectPr>
      <w:footerReference r:id="rId3" w:type="default"/>
      <w:pgSz w:w="11906" w:h="16838"/>
      <w:pgMar w:top="1814" w:right="1474" w:bottom="181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方正仿宋_GBK">
    <w:panose1 w:val="02000000000000000000"/>
    <w:charset w:val="86"/>
    <w:family w:val="script"/>
    <w:pitch w:val="default"/>
    <w:sig w:usb0="A00002BF" w:usb1="38CF7CFA" w:usb2="00082016" w:usb3="00000000" w:csb0="00040001" w:csb1="00000000"/>
  </w:font>
  <w:font w:name="Courier New">
    <w:panose1 w:val="02070309020205020404"/>
    <w:charset w:val="00"/>
    <w:family w:val="modern"/>
    <w:pitch w:val="default"/>
    <w:sig w:usb0="E0002E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7895463"/>
      <w:docPartObj>
        <w:docPartGallery w:val="AutoText"/>
      </w:docPartObj>
    </w:sdtPr>
    <w:sdtEndPr>
      <w:rPr>
        <w:rFonts w:ascii="Times New Roman" w:hAnsi="Times New Roman" w:cs="Times New Roman"/>
        <w:sz w:val="24"/>
        <w:szCs w:val="24"/>
      </w:rPr>
    </w:sdtEndPr>
    <w:sdtContent>
      <w:p w14:paraId="13B98E7F">
        <w:pPr>
          <w:pStyle w:val="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8</w:t>
        </w:r>
        <w:r>
          <w:rPr>
            <w:rFonts w:ascii="Times New Roman" w:hAnsi="Times New Roman" w:cs="Times New Roman"/>
            <w:sz w:val="24"/>
            <w:szCs w:val="24"/>
          </w:rPr>
          <w:fldChar w:fldCharType="end"/>
        </w:r>
      </w:p>
    </w:sdtContent>
  </w:sdt>
  <w:p w14:paraId="187CC27A">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295929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等线" w:hAnsi="Times New Roman" w:eastAsia="等线" w:cs="Arial"/>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Plain Text"/>
    <w:basedOn w:val="1"/>
    <w:qFormat/>
    <w:uiPriority w:val="0"/>
    <w:pPr>
      <w:autoSpaceDE w:val="0"/>
      <w:autoSpaceDN w:val="0"/>
      <w:jc w:val="left"/>
    </w:pPr>
    <w:rPr>
      <w:rFonts w:ascii="宋体" w:hAnsi="宋体" w:eastAsia="方正仿宋_GBK" w:cs="Courier New"/>
      <w:kern w:val="0"/>
      <w:sz w:val="22"/>
      <w:szCs w:val="21"/>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10">
    <w:name w:val="Body Text Indent1"/>
    <w:qFormat/>
    <w:uiPriority w:val="0"/>
    <w:pPr>
      <w:widowControl w:val="0"/>
      <w:ind w:firstLine="570"/>
      <w:jc w:val="both"/>
    </w:pPr>
    <w:rPr>
      <w:rFonts w:ascii="宋体"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Microsoft</Company>
  <Pages>7</Pages>
  <Words>2503</Words>
  <Characters>2506</Characters>
  <Lines>140</Lines>
  <Paragraphs>62</Paragraphs>
  <TotalTime>4</TotalTime>
  <ScaleCrop>false</ScaleCrop>
  <LinksUpToDate>false</LinksUpToDate>
  <CharactersWithSpaces>2590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2026-07-23T09:38:00Z</dcterms:created>
  <dc:creator>NTKO</dc:creator>
  <cp:lastModifiedBy>中国雨花台</cp:lastModifiedBy>
  <dcterms:modified xsi:type="dcterms:W3CDTF">2026-07-29T08:42:35Z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79567F5F78764577B6BA08850B91837F_12</vt:lpwstr>
  </property>
</Properties>
</file>