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F52A4">
      <w:pPr>
        <w:pStyle w:val="3"/>
        <w:spacing w:line="246" w:lineRule="auto"/>
      </w:pPr>
    </w:p>
    <w:p w14:paraId="5960FBB7">
      <w:pPr>
        <w:pStyle w:val="3"/>
        <w:spacing w:line="246" w:lineRule="auto"/>
      </w:pPr>
    </w:p>
    <w:p w14:paraId="0C841116">
      <w:pPr>
        <w:pStyle w:val="3"/>
        <w:spacing w:line="246" w:lineRule="auto"/>
      </w:pPr>
    </w:p>
    <w:p w14:paraId="76FE91A2">
      <w:pPr>
        <w:pStyle w:val="3"/>
        <w:spacing w:line="246" w:lineRule="auto"/>
      </w:pPr>
    </w:p>
    <w:p w14:paraId="26BE0A5A">
      <w:pPr>
        <w:pStyle w:val="3"/>
        <w:spacing w:line="246" w:lineRule="auto"/>
      </w:pPr>
    </w:p>
    <w:p w14:paraId="3D0B2F12">
      <w:pPr>
        <w:spacing w:before="189" w:line="171" w:lineRule="auto"/>
        <w:ind w:left="848"/>
        <w:outlineLvl w:val="0"/>
        <w:rPr>
          <w:rFonts w:ascii="微软雅黑" w:hAnsi="微软雅黑" w:eastAsia="微软雅黑" w:cs="微软雅黑"/>
          <w:sz w:val="30"/>
          <w:szCs w:val="30"/>
        </w:rPr>
      </w:pPr>
      <w:r>
        <w:rPr>
          <w:rFonts w:ascii="微软雅黑" w:hAnsi="微软雅黑" w:eastAsia="微软雅黑" w:cs="微软雅黑"/>
          <w:b/>
          <w:bCs/>
          <w:color w:val="F0F0F0"/>
          <w:spacing w:val="-5"/>
          <w:sz w:val="44"/>
          <w:szCs w:val="44"/>
        </w:rPr>
        <w:t>PROJECT</w:t>
      </w:r>
      <w:r>
        <w:rPr>
          <w:rFonts w:ascii="微软雅黑" w:hAnsi="微软雅黑" w:eastAsia="微软雅黑" w:cs="微软雅黑"/>
          <w:b/>
          <w:bCs/>
          <w:color w:val="F0F0F0"/>
          <w:spacing w:val="39"/>
          <w:sz w:val="44"/>
          <w:szCs w:val="44"/>
        </w:rPr>
        <w:t xml:space="preserve"> </w:t>
      </w:r>
      <w:r>
        <w:rPr>
          <w:rFonts w:ascii="微软雅黑" w:hAnsi="微软雅黑" w:eastAsia="微软雅黑" w:cs="微软雅黑"/>
          <w:b/>
          <w:bCs/>
          <w:color w:val="F0F0F0"/>
          <w:spacing w:val="-5"/>
          <w:sz w:val="44"/>
          <w:szCs w:val="44"/>
        </w:rPr>
        <w:t>REPORTS</w:t>
      </w:r>
      <w:r>
        <w:rPr>
          <w:rFonts w:ascii="微软雅黑" w:hAnsi="微软雅黑" w:eastAsia="微软雅黑" w:cs="微软雅黑"/>
          <w:b/>
          <w:bCs/>
          <w:color w:val="F0F0F0"/>
          <w:spacing w:val="77"/>
          <w:sz w:val="44"/>
          <w:szCs w:val="44"/>
        </w:rPr>
        <w:t xml:space="preserve"> </w:t>
      </w:r>
      <w:r>
        <w:rPr>
          <w:rFonts w:ascii="微软雅黑" w:hAnsi="微软雅黑" w:eastAsia="微软雅黑" w:cs="微软雅黑"/>
          <w:b/>
          <w:bCs/>
          <w:color w:val="F0F0F0"/>
          <w:spacing w:val="64"/>
          <w:sz w:val="44"/>
          <w:szCs w:val="44"/>
          <w:shd w:val="clear" w:fill="036EFF"/>
        </w:rPr>
        <w:t xml:space="preserve"> </w:t>
      </w:r>
      <w:r>
        <w:rPr>
          <w:rFonts w:ascii="微软雅黑" w:hAnsi="微软雅黑" w:eastAsia="微软雅黑" w:cs="微软雅黑"/>
          <w:b/>
          <w:bCs/>
          <w:color w:val="FFFFFF"/>
          <w:spacing w:val="-5"/>
          <w:position w:val="3"/>
          <w:sz w:val="30"/>
          <w:szCs w:val="30"/>
          <w:shd w:val="clear" w:fill="036EFF"/>
        </w:rPr>
        <w:t>比选文件</w:t>
      </w:r>
      <w:r>
        <w:rPr>
          <w:rFonts w:ascii="微软雅黑" w:hAnsi="微软雅黑" w:eastAsia="微软雅黑" w:cs="微软雅黑"/>
          <w:b/>
          <w:bCs/>
          <w:color w:val="FFFFFF"/>
          <w:position w:val="3"/>
          <w:sz w:val="30"/>
          <w:szCs w:val="30"/>
          <w:shd w:val="clear" w:fill="036EFF"/>
        </w:rPr>
        <w:t xml:space="preserve">  </w:t>
      </w:r>
    </w:p>
    <w:p w14:paraId="09E5A65C">
      <w:pPr>
        <w:spacing w:before="140" w:line="229" w:lineRule="auto"/>
        <w:ind w:left="837"/>
        <w:outlineLvl w:val="0"/>
        <w:rPr>
          <w:rFonts w:ascii="微软雅黑" w:hAnsi="微软雅黑" w:eastAsia="微软雅黑" w:cs="微软雅黑"/>
          <w:sz w:val="52"/>
          <w:szCs w:val="52"/>
        </w:rPr>
      </w:pPr>
      <w:r>
        <w:rPr>
          <w:rFonts w:ascii="微软雅黑" w:hAnsi="微软雅黑" w:eastAsia="微软雅黑" w:cs="微软雅黑"/>
          <w:b/>
          <w:bCs/>
          <w:color w:val="036EFF"/>
          <w:spacing w:val="-2"/>
          <w:sz w:val="52"/>
          <w:szCs w:val="52"/>
        </w:rPr>
        <w:t>2026年南京市新婚夫妇向革命烈士献花活动</w:t>
      </w:r>
    </w:p>
    <w:p w14:paraId="2BCE8582">
      <w:pPr>
        <w:spacing w:before="115" w:line="184" w:lineRule="auto"/>
        <w:ind w:left="813"/>
        <w:rPr>
          <w:rFonts w:ascii="微软雅黑" w:hAnsi="微软雅黑" w:eastAsia="微软雅黑" w:cs="微软雅黑"/>
          <w:sz w:val="32"/>
          <w:szCs w:val="32"/>
        </w:rPr>
      </w:pPr>
      <w:r>
        <w:rPr>
          <w:rFonts w:ascii="微软雅黑" w:hAnsi="微软雅黑" w:eastAsia="微软雅黑" w:cs="微软雅黑"/>
          <w:b/>
          <w:bCs/>
          <w:color w:val="333333"/>
          <w:spacing w:val="-1"/>
          <w:sz w:val="32"/>
          <w:szCs w:val="32"/>
        </w:rPr>
        <w:t>采购单位：南京市雨花台烈士陵园管理局</w:t>
      </w:r>
    </w:p>
    <w:p w14:paraId="2AF8C7E8">
      <w:pPr>
        <w:pStyle w:val="3"/>
        <w:spacing w:line="253" w:lineRule="auto"/>
      </w:pPr>
    </w:p>
    <w:p w14:paraId="6837F90A">
      <w:pPr>
        <w:pStyle w:val="3"/>
        <w:spacing w:line="253" w:lineRule="auto"/>
      </w:pPr>
    </w:p>
    <w:p w14:paraId="6386DFA8">
      <w:pPr>
        <w:pStyle w:val="3"/>
        <w:spacing w:line="253" w:lineRule="auto"/>
      </w:pPr>
    </w:p>
    <w:p w14:paraId="76DD176D">
      <w:pPr>
        <w:pStyle w:val="3"/>
        <w:spacing w:line="253" w:lineRule="auto"/>
      </w:pPr>
    </w:p>
    <w:p w14:paraId="041D4626">
      <w:pPr>
        <w:pStyle w:val="3"/>
        <w:spacing w:line="253" w:lineRule="auto"/>
      </w:pPr>
    </w:p>
    <w:p w14:paraId="4F02A82C">
      <w:pPr>
        <w:pStyle w:val="3"/>
        <w:spacing w:line="253" w:lineRule="auto"/>
      </w:pPr>
      <w:r>
        <w:pict>
          <v:rect id="_x0000_s1026" o:spid="_x0000_s1026" o:spt="1" style="position:absolute;left:0pt;margin-left:40.5pt;margin-top:9.25pt;height:3.05pt;width:26.3pt;z-index:251659264;mso-width-relative:page;mso-height-relative:page;" fillcolor="#036EFF" filled="t" stroked="f" coordsize="21600,21600">
            <v:path/>
            <v:fill on="t" focussize="0,0"/>
            <v:stroke on="f"/>
            <v:imagedata o:title=""/>
            <o:lock v:ext="edit"/>
          </v:rect>
        </w:pict>
      </w:r>
    </w:p>
    <w:p w14:paraId="13E83B9D">
      <w:pPr>
        <w:pStyle w:val="3"/>
        <w:spacing w:line="254" w:lineRule="auto"/>
      </w:pPr>
    </w:p>
    <w:p w14:paraId="4D162449">
      <w:pPr>
        <w:spacing w:before="120" w:line="225" w:lineRule="auto"/>
        <w:ind w:left="812"/>
        <w:rPr>
          <w:rFonts w:ascii="微软雅黑" w:hAnsi="微软雅黑" w:eastAsia="微软雅黑" w:cs="微软雅黑"/>
          <w:sz w:val="28"/>
          <w:szCs w:val="28"/>
        </w:rPr>
      </w:pPr>
      <w:r>
        <w:rPr>
          <w:rFonts w:ascii="微软雅黑" w:hAnsi="微软雅黑" w:eastAsia="微软雅黑" w:cs="微软雅黑"/>
          <w:color w:val="666666"/>
          <w:sz w:val="28"/>
          <w:szCs w:val="28"/>
        </w:rPr>
        <w:t>项目编号：</w:t>
      </w:r>
      <w:r>
        <w:rPr>
          <w:rFonts w:ascii="微软雅黑" w:hAnsi="微软雅黑" w:eastAsia="微软雅黑" w:cs="微软雅黑"/>
          <w:color w:val="333333"/>
          <w:sz w:val="28"/>
          <w:szCs w:val="28"/>
        </w:rPr>
        <w:t>JSZC-320100-FW2026-0</w:t>
      </w:r>
      <w:r>
        <w:rPr>
          <w:rFonts w:ascii="微软雅黑" w:hAnsi="微软雅黑" w:eastAsia="微软雅黑" w:cs="微软雅黑"/>
          <w:color w:val="333333"/>
          <w:spacing w:val="-1"/>
          <w:sz w:val="28"/>
          <w:szCs w:val="28"/>
        </w:rPr>
        <w:t>8727</w:t>
      </w:r>
    </w:p>
    <w:p w14:paraId="0BB37F78">
      <w:pPr>
        <w:spacing w:before="245" w:line="184" w:lineRule="auto"/>
        <w:ind w:left="814"/>
        <w:rPr>
          <w:rFonts w:ascii="微软雅黑" w:hAnsi="微软雅黑" w:eastAsia="微软雅黑" w:cs="微软雅黑"/>
          <w:sz w:val="28"/>
          <w:szCs w:val="28"/>
        </w:rPr>
      </w:pPr>
      <w:r>
        <w:rPr>
          <w:rFonts w:ascii="微软雅黑" w:hAnsi="微软雅黑" w:eastAsia="微软雅黑" w:cs="微软雅黑"/>
          <w:color w:val="666666"/>
          <w:spacing w:val="-1"/>
          <w:sz w:val="28"/>
          <w:szCs w:val="28"/>
        </w:rPr>
        <w:t>评审方法：</w:t>
      </w:r>
      <w:r>
        <w:rPr>
          <w:rFonts w:ascii="微软雅黑" w:hAnsi="微软雅黑" w:eastAsia="微软雅黑" w:cs="微软雅黑"/>
          <w:color w:val="333333"/>
          <w:spacing w:val="-1"/>
          <w:sz w:val="28"/>
          <w:szCs w:val="28"/>
        </w:rPr>
        <w:t>综合评分法</w:t>
      </w:r>
    </w:p>
    <w:p w14:paraId="567B7893">
      <w:pPr>
        <w:spacing w:before="228" w:line="225" w:lineRule="auto"/>
        <w:ind w:left="815"/>
        <w:rPr>
          <w:rFonts w:ascii="微软雅黑" w:hAnsi="微软雅黑" w:eastAsia="微软雅黑" w:cs="微软雅黑"/>
          <w:sz w:val="28"/>
          <w:szCs w:val="28"/>
        </w:rPr>
      </w:pPr>
      <w:r>
        <w:rPr>
          <w:rFonts w:ascii="微软雅黑" w:hAnsi="微软雅黑" w:eastAsia="微软雅黑" w:cs="微软雅黑"/>
          <w:color w:val="666666"/>
          <w:sz w:val="28"/>
          <w:szCs w:val="28"/>
        </w:rPr>
        <w:t>服务品目：</w:t>
      </w:r>
      <w:r>
        <w:rPr>
          <w:rFonts w:ascii="微软雅黑" w:hAnsi="微软雅黑" w:eastAsia="微软雅黑" w:cs="微软雅黑"/>
          <w:color w:val="333333"/>
          <w:sz w:val="28"/>
          <w:szCs w:val="28"/>
        </w:rPr>
        <w:t>文化、体育、娱乐服务/文化艺术服务/</w:t>
      </w:r>
      <w:r>
        <w:rPr>
          <w:rFonts w:ascii="微软雅黑" w:hAnsi="微软雅黑" w:eastAsia="微软雅黑" w:cs="微软雅黑"/>
          <w:color w:val="333333"/>
          <w:spacing w:val="-1"/>
          <w:sz w:val="28"/>
          <w:szCs w:val="28"/>
        </w:rPr>
        <w:t>群众文化活动服务</w:t>
      </w:r>
    </w:p>
    <w:p w14:paraId="605A848B">
      <w:pPr>
        <w:spacing w:before="246" w:line="183" w:lineRule="auto"/>
        <w:ind w:left="812"/>
        <w:rPr>
          <w:rFonts w:ascii="微软雅黑" w:hAnsi="微软雅黑" w:eastAsia="微软雅黑" w:cs="微软雅黑"/>
          <w:sz w:val="28"/>
          <w:szCs w:val="28"/>
        </w:rPr>
      </w:pPr>
      <w:r>
        <w:rPr>
          <w:rFonts w:ascii="微软雅黑" w:hAnsi="微软雅黑" w:eastAsia="微软雅黑" w:cs="微软雅黑"/>
          <w:color w:val="666666"/>
          <w:spacing w:val="-1"/>
          <w:sz w:val="28"/>
          <w:szCs w:val="28"/>
        </w:rPr>
        <w:t>项目联系人：</w:t>
      </w:r>
      <w:r>
        <w:rPr>
          <w:rFonts w:ascii="微软雅黑" w:hAnsi="微软雅黑" w:eastAsia="微软雅黑" w:cs="微软雅黑"/>
          <w:color w:val="333333"/>
          <w:spacing w:val="-1"/>
          <w:sz w:val="28"/>
          <w:szCs w:val="28"/>
        </w:rPr>
        <w:t>周菲菲</w:t>
      </w:r>
    </w:p>
    <w:p w14:paraId="1E458B16">
      <w:pPr>
        <w:spacing w:before="226" w:line="227" w:lineRule="auto"/>
        <w:ind w:left="813"/>
        <w:rPr>
          <w:rFonts w:ascii="微软雅黑" w:hAnsi="微软雅黑" w:eastAsia="微软雅黑" w:cs="微软雅黑"/>
          <w:sz w:val="28"/>
          <w:szCs w:val="28"/>
        </w:rPr>
      </w:pPr>
      <w:r>
        <w:rPr>
          <w:rFonts w:ascii="微软雅黑" w:hAnsi="微软雅黑" w:eastAsia="微软雅黑" w:cs="微软雅黑"/>
          <w:color w:val="666666"/>
          <w:spacing w:val="-4"/>
          <w:sz w:val="28"/>
          <w:szCs w:val="28"/>
        </w:rPr>
        <w:t>联系人电话</w:t>
      </w:r>
      <w:r>
        <w:rPr>
          <w:rFonts w:ascii="微软雅黑" w:hAnsi="微软雅黑" w:eastAsia="微软雅黑" w:cs="微软雅黑"/>
          <w:color w:val="666666"/>
          <w:spacing w:val="-17"/>
          <w:sz w:val="28"/>
          <w:szCs w:val="28"/>
        </w:rPr>
        <w:t xml:space="preserve"> </w:t>
      </w:r>
      <w:r>
        <w:rPr>
          <w:rFonts w:ascii="微软雅黑" w:hAnsi="微软雅黑" w:eastAsia="微软雅黑" w:cs="微软雅黑"/>
          <w:color w:val="666666"/>
          <w:spacing w:val="-4"/>
          <w:sz w:val="28"/>
          <w:szCs w:val="28"/>
        </w:rPr>
        <w:t>：</w:t>
      </w:r>
      <w:r>
        <w:rPr>
          <w:rFonts w:ascii="微软雅黑" w:hAnsi="微软雅黑" w:eastAsia="微软雅黑" w:cs="微软雅黑"/>
          <w:color w:val="333333"/>
          <w:spacing w:val="-4"/>
          <w:sz w:val="28"/>
          <w:szCs w:val="28"/>
        </w:rPr>
        <w:t>025-68783093</w:t>
      </w:r>
    </w:p>
    <w:p w14:paraId="7A359C56">
      <w:pPr>
        <w:pStyle w:val="3"/>
        <w:spacing w:line="247" w:lineRule="auto"/>
      </w:pPr>
    </w:p>
    <w:p w14:paraId="7922EB57">
      <w:pPr>
        <w:pStyle w:val="3"/>
        <w:spacing w:line="247" w:lineRule="auto"/>
      </w:pPr>
    </w:p>
    <w:p w14:paraId="031174BA">
      <w:pPr>
        <w:pStyle w:val="3"/>
        <w:spacing w:line="247" w:lineRule="auto"/>
      </w:pPr>
    </w:p>
    <w:p w14:paraId="31D8113A">
      <w:pPr>
        <w:pStyle w:val="3"/>
        <w:spacing w:line="247" w:lineRule="auto"/>
      </w:pPr>
    </w:p>
    <w:p w14:paraId="297EB320">
      <w:pPr>
        <w:pStyle w:val="3"/>
        <w:spacing w:line="247" w:lineRule="auto"/>
      </w:pPr>
    </w:p>
    <w:p w14:paraId="2289E841">
      <w:pPr>
        <w:pStyle w:val="3"/>
        <w:spacing w:line="247" w:lineRule="auto"/>
      </w:pPr>
    </w:p>
    <w:p w14:paraId="7F803754">
      <w:pPr>
        <w:pStyle w:val="3"/>
        <w:spacing w:line="247" w:lineRule="auto"/>
      </w:pPr>
    </w:p>
    <w:p w14:paraId="5902C931">
      <w:pPr>
        <w:pStyle w:val="3"/>
        <w:spacing w:line="247" w:lineRule="auto"/>
      </w:pPr>
    </w:p>
    <w:p w14:paraId="7451383E">
      <w:pPr>
        <w:pStyle w:val="3"/>
        <w:spacing w:line="247" w:lineRule="auto"/>
      </w:pPr>
    </w:p>
    <w:p w14:paraId="7D583BE0">
      <w:pPr>
        <w:pStyle w:val="3"/>
        <w:spacing w:line="247" w:lineRule="auto"/>
      </w:pPr>
    </w:p>
    <w:p w14:paraId="3EC2FEE1">
      <w:pPr>
        <w:pStyle w:val="3"/>
        <w:spacing w:line="247" w:lineRule="auto"/>
      </w:pPr>
    </w:p>
    <w:p w14:paraId="397AEE33">
      <w:pPr>
        <w:pStyle w:val="3"/>
        <w:spacing w:line="247" w:lineRule="auto"/>
      </w:pPr>
    </w:p>
    <w:p w14:paraId="44EB0536">
      <w:pPr>
        <w:pStyle w:val="3"/>
        <w:spacing w:line="247" w:lineRule="auto"/>
      </w:pPr>
    </w:p>
    <w:p w14:paraId="1607B275">
      <w:pPr>
        <w:pStyle w:val="3"/>
        <w:spacing w:line="247" w:lineRule="auto"/>
      </w:pPr>
    </w:p>
    <w:p w14:paraId="6536594D">
      <w:pPr>
        <w:pStyle w:val="3"/>
        <w:spacing w:line="247" w:lineRule="auto"/>
      </w:pPr>
    </w:p>
    <w:p w14:paraId="3392BEE8">
      <w:pPr>
        <w:pStyle w:val="3"/>
        <w:spacing w:line="247" w:lineRule="auto"/>
      </w:pPr>
    </w:p>
    <w:p w14:paraId="258A24B3">
      <w:pPr>
        <w:pStyle w:val="3"/>
        <w:spacing w:line="247" w:lineRule="auto"/>
      </w:pPr>
    </w:p>
    <w:p w14:paraId="2C0A287C">
      <w:pPr>
        <w:pStyle w:val="3"/>
        <w:spacing w:line="247" w:lineRule="auto"/>
      </w:pPr>
    </w:p>
    <w:p w14:paraId="50A79CA1">
      <w:pPr>
        <w:pStyle w:val="3"/>
        <w:spacing w:line="247" w:lineRule="auto"/>
      </w:pPr>
    </w:p>
    <w:p w14:paraId="6FCF8E7B">
      <w:pPr>
        <w:pStyle w:val="3"/>
        <w:spacing w:line="247" w:lineRule="auto"/>
      </w:pPr>
    </w:p>
    <w:p w14:paraId="2C60EC02">
      <w:pPr>
        <w:pStyle w:val="3"/>
        <w:spacing w:line="248" w:lineRule="auto"/>
      </w:pPr>
    </w:p>
    <w:p w14:paraId="7B8DBA5A">
      <w:pPr>
        <w:pStyle w:val="3"/>
        <w:spacing w:line="248" w:lineRule="auto"/>
      </w:pPr>
    </w:p>
    <w:p w14:paraId="282049B9">
      <w:pPr>
        <w:pStyle w:val="3"/>
        <w:spacing w:line="248" w:lineRule="auto"/>
      </w:pPr>
    </w:p>
    <w:p w14:paraId="4E3EC4DD">
      <w:pPr>
        <w:pStyle w:val="3"/>
        <w:spacing w:line="248" w:lineRule="auto"/>
      </w:pPr>
    </w:p>
    <w:p w14:paraId="58FE4870">
      <w:pPr>
        <w:pStyle w:val="3"/>
        <w:spacing w:line="248" w:lineRule="auto"/>
      </w:pPr>
    </w:p>
    <w:p w14:paraId="3B2E07A7">
      <w:pPr>
        <w:pStyle w:val="3"/>
        <w:spacing w:line="248" w:lineRule="auto"/>
      </w:pPr>
    </w:p>
    <w:p w14:paraId="6F3FA805">
      <w:pPr>
        <w:pStyle w:val="3"/>
        <w:spacing w:line="248" w:lineRule="auto"/>
      </w:pPr>
    </w:p>
    <w:p w14:paraId="21375599">
      <w:pPr>
        <w:spacing w:before="90" w:line="209" w:lineRule="auto"/>
        <w:ind w:left="828"/>
        <w:rPr>
          <w:rFonts w:ascii="微软雅黑" w:hAnsi="微软雅黑" w:eastAsia="微软雅黑" w:cs="微软雅黑"/>
          <w:sz w:val="21"/>
          <w:szCs w:val="21"/>
        </w:rPr>
      </w:pPr>
      <w:r>
        <w:fldChar w:fldCharType="begin"/>
      </w:r>
      <w:r>
        <w:instrText xml:space="preserve"> HYPERLINK "https://js.fwgov.cn/" </w:instrText>
      </w:r>
      <w:r>
        <w:fldChar w:fldCharType="separate"/>
      </w:r>
      <w:r>
        <w:rPr>
          <w:rFonts w:ascii="微软雅黑" w:hAnsi="微软雅黑" w:eastAsia="微软雅黑" w:cs="微软雅黑"/>
          <w:color w:val="333333"/>
          <w:spacing w:val="-1"/>
          <w:sz w:val="21"/>
          <w:szCs w:val="21"/>
        </w:rPr>
        <w:t>https://js.fwgov.cn/</w:t>
      </w:r>
      <w:r>
        <w:rPr>
          <w:rFonts w:ascii="微软雅黑" w:hAnsi="微软雅黑" w:eastAsia="微软雅黑" w:cs="微软雅黑"/>
          <w:color w:val="333333"/>
          <w:spacing w:val="-1"/>
          <w:sz w:val="21"/>
          <w:szCs w:val="21"/>
        </w:rPr>
        <w:fldChar w:fldCharType="end"/>
      </w:r>
    </w:p>
    <w:p w14:paraId="0C2B5ACC">
      <w:pPr>
        <w:spacing w:line="209" w:lineRule="auto"/>
        <w:rPr>
          <w:rFonts w:ascii="微软雅黑" w:hAnsi="微软雅黑" w:eastAsia="微软雅黑" w:cs="微软雅黑"/>
          <w:sz w:val="21"/>
          <w:szCs w:val="21"/>
        </w:rPr>
        <w:sectPr>
          <w:headerReference r:id="rId5" w:type="default"/>
          <w:footerReference r:id="rId6" w:type="default"/>
          <w:pgSz w:w="11900" w:h="16839"/>
          <w:pgMar w:top="900" w:right="0" w:bottom="46" w:left="0" w:header="360" w:footer="1" w:gutter="0"/>
          <w:cols w:space="720" w:num="1"/>
        </w:sectPr>
      </w:pPr>
    </w:p>
    <w:p w14:paraId="2A442954">
      <w:pPr>
        <w:spacing w:before="307" w:line="173" w:lineRule="auto"/>
        <w:ind w:left="1586"/>
        <w:rPr>
          <w:rFonts w:ascii="微软雅黑" w:hAnsi="微软雅黑" w:eastAsia="微软雅黑" w:cs="微软雅黑"/>
          <w:sz w:val="48"/>
          <w:szCs w:val="48"/>
        </w:rPr>
      </w:pPr>
      <w:r>
        <w:pict>
          <v:rect id="_x0000_s1027" o:spid="_x0000_s1027" o:spt="1" style="position:absolute;left:0pt;margin-left:0pt;margin-top:0pt;height:836.65pt;width:18.05pt;mso-position-horizontal-relative:page;mso-position-vertical-relative:page;z-index:251660288;mso-width-relative:page;mso-height-relative:page;" fillcolor="#036EFF" filled="t" stroked="f" coordsize="21600,21600" o:allowincell="f">
            <v:path/>
            <v:fill on="t" focussize="0,0"/>
            <v:stroke on="f"/>
            <v:imagedata o:title=""/>
            <o:lock v:ext="edit"/>
          </v:rect>
        </w:pict>
      </w:r>
      <w:r>
        <w:drawing>
          <wp:anchor distT="0" distB="0" distL="0" distR="0" simplePos="0" relativeHeight="251661312" behindDoc="0" locked="0" layoutInCell="0" allowOverlap="1">
            <wp:simplePos x="0" y="0"/>
            <wp:positionH relativeFrom="page">
              <wp:posOffset>0</wp:posOffset>
            </wp:positionH>
            <wp:positionV relativeFrom="page">
              <wp:posOffset>-2540</wp:posOffset>
            </wp:positionV>
            <wp:extent cx="7555865"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9"/>
                    <a:stretch>
                      <a:fillRect/>
                    </a:stretch>
                  </pic:blipFill>
                  <pic:spPr>
                    <a:xfrm>
                      <a:off x="0" y="0"/>
                      <a:ext cx="7555991" cy="6350"/>
                    </a:xfrm>
                    <a:prstGeom prst="rect">
                      <a:avLst/>
                    </a:prstGeom>
                  </pic:spPr>
                </pic:pic>
              </a:graphicData>
            </a:graphic>
          </wp:anchor>
        </w:drawing>
      </w:r>
      <w:r>
        <w:rPr>
          <w:rFonts w:ascii="微软雅黑" w:hAnsi="微软雅黑" w:eastAsia="微软雅黑" w:cs="微软雅黑"/>
          <w:color w:val="E4E7EE"/>
          <w:spacing w:val="-3"/>
          <w:sz w:val="48"/>
          <w:szCs w:val="48"/>
        </w:rPr>
        <w:t>CONTENTS</w:t>
      </w:r>
    </w:p>
    <w:p w14:paraId="014D6223">
      <w:pPr>
        <w:spacing w:before="131" w:line="177" w:lineRule="auto"/>
        <w:ind w:left="1641"/>
        <w:rPr>
          <w:rFonts w:ascii="微软雅黑" w:hAnsi="微软雅黑" w:eastAsia="微软雅黑" w:cs="微软雅黑"/>
          <w:sz w:val="68"/>
          <w:szCs w:val="68"/>
        </w:rPr>
      </w:pPr>
      <w:r>
        <w:rPr>
          <w:rFonts w:ascii="微软雅黑" w:hAnsi="微软雅黑" w:eastAsia="微软雅黑" w:cs="微软雅黑"/>
          <w:b/>
          <w:bCs/>
          <w:color w:val="036EFF"/>
          <w:spacing w:val="-39"/>
          <w:sz w:val="68"/>
          <w:szCs w:val="68"/>
        </w:rPr>
        <w:t>目录</w:t>
      </w:r>
    </w:p>
    <w:p w14:paraId="634435ED">
      <w:pPr>
        <w:pStyle w:val="3"/>
        <w:spacing w:line="247" w:lineRule="auto"/>
      </w:pPr>
    </w:p>
    <w:p w14:paraId="5A208542">
      <w:pPr>
        <w:pStyle w:val="3"/>
        <w:spacing w:line="247" w:lineRule="auto"/>
      </w:pPr>
    </w:p>
    <w:p w14:paraId="1F4A0333">
      <w:pPr>
        <w:pStyle w:val="3"/>
        <w:spacing w:line="248" w:lineRule="auto"/>
      </w:pPr>
    </w:p>
    <w:p w14:paraId="5692898F">
      <w:pPr>
        <w:pStyle w:val="3"/>
        <w:spacing w:line="248" w:lineRule="auto"/>
      </w:pPr>
    </w:p>
    <w:p w14:paraId="0A66FD8C">
      <w:pPr>
        <w:pStyle w:val="3"/>
        <w:spacing w:line="248" w:lineRule="auto"/>
      </w:pPr>
    </w:p>
    <w:p w14:paraId="05085A81">
      <w:pPr>
        <w:pStyle w:val="3"/>
        <w:spacing w:line="248" w:lineRule="auto"/>
      </w:pPr>
    </w:p>
    <w:p w14:paraId="26E7D55F">
      <w:pPr>
        <w:pStyle w:val="3"/>
        <w:spacing w:line="248" w:lineRule="auto"/>
      </w:pPr>
    </w:p>
    <w:p w14:paraId="003E72BF">
      <w:pPr>
        <w:pStyle w:val="3"/>
        <w:spacing w:line="248" w:lineRule="auto"/>
      </w:pPr>
    </w:p>
    <w:p w14:paraId="3FC8C680">
      <w:pPr>
        <w:pStyle w:val="3"/>
        <w:spacing w:line="248" w:lineRule="auto"/>
      </w:pPr>
    </w:p>
    <w:p w14:paraId="2BD60F7B">
      <w:pPr>
        <w:spacing w:before="171" w:line="238" w:lineRule="auto"/>
        <w:ind w:left="1419"/>
        <w:rPr>
          <w:rFonts w:ascii="微软雅黑" w:hAnsi="微软雅黑" w:eastAsia="微软雅黑" w:cs="微软雅黑"/>
          <w:sz w:val="36"/>
          <w:szCs w:val="36"/>
        </w:rPr>
      </w:pPr>
      <w:r>
        <w:rPr>
          <w:rFonts w:ascii="微软雅黑" w:hAnsi="微软雅黑" w:eastAsia="微软雅黑" w:cs="微软雅黑"/>
          <w:b/>
          <w:bCs/>
          <w:color w:val="C0C4CC"/>
          <w:spacing w:val="-11"/>
          <w:position w:val="-1"/>
          <w:sz w:val="40"/>
          <w:szCs w:val="40"/>
        </w:rPr>
        <w:t xml:space="preserve">1 </w:t>
      </w:r>
      <w:r>
        <w:rPr>
          <w:position w:val="-2"/>
          <w:sz w:val="40"/>
          <w:szCs w:val="40"/>
        </w:rPr>
        <w:drawing>
          <wp:inline distT="0" distB="0" distL="0" distR="0">
            <wp:extent cx="104775" cy="22415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0"/>
                    <a:stretch>
                      <a:fillRect/>
                    </a:stretch>
                  </pic:blipFill>
                  <pic:spPr>
                    <a:xfrm>
                      <a:off x="0" y="0"/>
                      <a:ext cx="105081" cy="224681"/>
                    </a:xfrm>
                    <a:prstGeom prst="rect">
                      <a:avLst/>
                    </a:prstGeom>
                  </pic:spPr>
                </pic:pic>
              </a:graphicData>
            </a:graphic>
          </wp:inline>
        </w:drawing>
      </w:r>
      <w:r>
        <w:rPr>
          <w:rFonts w:ascii="微软雅黑" w:hAnsi="微软雅黑" w:eastAsia="微软雅黑" w:cs="微软雅黑"/>
          <w:b/>
          <w:bCs/>
          <w:color w:val="C0C4CC"/>
          <w:spacing w:val="7"/>
          <w:position w:val="-1"/>
          <w:sz w:val="40"/>
          <w:szCs w:val="40"/>
        </w:rPr>
        <w:t xml:space="preserve">    </w:t>
      </w:r>
      <w:r>
        <w:rPr>
          <w:rFonts w:ascii="微软雅黑" w:hAnsi="微软雅黑" w:eastAsia="微软雅黑" w:cs="微软雅黑"/>
          <w:b/>
          <w:bCs/>
          <w:color w:val="036EFF"/>
          <w:spacing w:val="-11"/>
          <w:position w:val="1"/>
          <w:sz w:val="36"/>
          <w:szCs w:val="36"/>
        </w:rPr>
        <w:t>比选公告</w:t>
      </w:r>
    </w:p>
    <w:p w14:paraId="7B5D8E9A">
      <w:pPr>
        <w:pStyle w:val="3"/>
        <w:spacing w:line="285" w:lineRule="auto"/>
      </w:pPr>
    </w:p>
    <w:p w14:paraId="10DFC484">
      <w:pPr>
        <w:pStyle w:val="3"/>
        <w:spacing w:line="285" w:lineRule="auto"/>
      </w:pPr>
    </w:p>
    <w:p w14:paraId="5A920218">
      <w:pPr>
        <w:spacing w:before="172" w:line="238" w:lineRule="auto"/>
        <w:ind w:left="1403"/>
        <w:rPr>
          <w:rFonts w:ascii="微软雅黑" w:hAnsi="微软雅黑" w:eastAsia="微软雅黑" w:cs="微软雅黑"/>
          <w:sz w:val="36"/>
          <w:szCs w:val="36"/>
        </w:rPr>
      </w:pPr>
      <w:r>
        <w:rPr>
          <w:rFonts w:ascii="微软雅黑" w:hAnsi="微软雅黑" w:eastAsia="微软雅黑" w:cs="微软雅黑"/>
          <w:b/>
          <w:bCs/>
          <w:color w:val="C0C4CC"/>
          <w:spacing w:val="-6"/>
          <w:position w:val="-2"/>
          <w:sz w:val="40"/>
          <w:szCs w:val="40"/>
        </w:rPr>
        <w:t xml:space="preserve">2 </w:t>
      </w:r>
      <w:r>
        <w:rPr>
          <w:position w:val="-3"/>
          <w:sz w:val="40"/>
          <w:szCs w:val="40"/>
        </w:rPr>
        <w:drawing>
          <wp:inline distT="0" distB="0" distL="0" distR="0">
            <wp:extent cx="104775" cy="22415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1"/>
                    <a:stretch>
                      <a:fillRect/>
                    </a:stretch>
                  </pic:blipFill>
                  <pic:spPr>
                    <a:xfrm>
                      <a:off x="0" y="0"/>
                      <a:ext cx="105081" cy="224681"/>
                    </a:xfrm>
                    <a:prstGeom prst="rect">
                      <a:avLst/>
                    </a:prstGeom>
                  </pic:spPr>
                </pic:pic>
              </a:graphicData>
            </a:graphic>
          </wp:inline>
        </w:drawing>
      </w:r>
      <w:r>
        <w:rPr>
          <w:rFonts w:ascii="微软雅黑" w:hAnsi="微软雅黑" w:eastAsia="微软雅黑" w:cs="微软雅黑"/>
          <w:b/>
          <w:bCs/>
          <w:color w:val="C0C4CC"/>
          <w:spacing w:val="5"/>
          <w:position w:val="-2"/>
          <w:sz w:val="40"/>
          <w:szCs w:val="40"/>
        </w:rPr>
        <w:t xml:space="preserve">    </w:t>
      </w:r>
      <w:r>
        <w:rPr>
          <w:rFonts w:ascii="微软雅黑" w:hAnsi="微软雅黑" w:eastAsia="微软雅黑" w:cs="微软雅黑"/>
          <w:b/>
          <w:bCs/>
          <w:color w:val="036EFF"/>
          <w:spacing w:val="-6"/>
          <w:sz w:val="36"/>
          <w:szCs w:val="36"/>
        </w:rPr>
        <w:t>供应商须知</w:t>
      </w:r>
    </w:p>
    <w:p w14:paraId="4F3CA6C2">
      <w:pPr>
        <w:pStyle w:val="3"/>
        <w:spacing w:line="284" w:lineRule="auto"/>
      </w:pPr>
    </w:p>
    <w:p w14:paraId="296D374A">
      <w:pPr>
        <w:pStyle w:val="3"/>
        <w:spacing w:line="285" w:lineRule="auto"/>
      </w:pPr>
    </w:p>
    <w:p w14:paraId="69029F65">
      <w:pPr>
        <w:spacing w:before="171" w:line="238" w:lineRule="auto"/>
        <w:ind w:left="1413"/>
        <w:rPr>
          <w:rFonts w:ascii="微软雅黑" w:hAnsi="微软雅黑" w:eastAsia="微软雅黑" w:cs="微软雅黑"/>
          <w:sz w:val="36"/>
          <w:szCs w:val="36"/>
        </w:rPr>
      </w:pPr>
      <w:r>
        <w:rPr>
          <w:rFonts w:ascii="微软雅黑" w:hAnsi="微软雅黑" w:eastAsia="微软雅黑" w:cs="微软雅黑"/>
          <w:b/>
          <w:bCs/>
          <w:color w:val="C0C4CC"/>
          <w:spacing w:val="-10"/>
          <w:position w:val="-1"/>
          <w:sz w:val="40"/>
          <w:szCs w:val="40"/>
        </w:rPr>
        <w:t xml:space="preserve">3 </w:t>
      </w:r>
      <w:r>
        <w:rPr>
          <w:position w:val="-2"/>
          <w:sz w:val="40"/>
          <w:szCs w:val="40"/>
        </w:rPr>
        <w:drawing>
          <wp:inline distT="0" distB="0" distL="0" distR="0">
            <wp:extent cx="104775" cy="2241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2"/>
                    <a:stretch>
                      <a:fillRect/>
                    </a:stretch>
                  </pic:blipFill>
                  <pic:spPr>
                    <a:xfrm>
                      <a:off x="0" y="0"/>
                      <a:ext cx="105081" cy="224681"/>
                    </a:xfrm>
                    <a:prstGeom prst="rect">
                      <a:avLst/>
                    </a:prstGeom>
                  </pic:spPr>
                </pic:pic>
              </a:graphicData>
            </a:graphic>
          </wp:inline>
        </w:drawing>
      </w:r>
      <w:r>
        <w:rPr>
          <w:rFonts w:ascii="微软雅黑" w:hAnsi="微软雅黑" w:eastAsia="微软雅黑" w:cs="微软雅黑"/>
          <w:b/>
          <w:bCs/>
          <w:color w:val="C0C4CC"/>
          <w:spacing w:val="7"/>
          <w:position w:val="-1"/>
          <w:sz w:val="40"/>
          <w:szCs w:val="40"/>
        </w:rPr>
        <w:t xml:space="preserve">    </w:t>
      </w:r>
      <w:r>
        <w:rPr>
          <w:rFonts w:ascii="微软雅黑" w:hAnsi="微软雅黑" w:eastAsia="微软雅黑" w:cs="微软雅黑"/>
          <w:b/>
          <w:bCs/>
          <w:color w:val="036EFF"/>
          <w:spacing w:val="-10"/>
          <w:position w:val="1"/>
          <w:sz w:val="36"/>
          <w:szCs w:val="36"/>
        </w:rPr>
        <w:t>比选需求</w:t>
      </w:r>
    </w:p>
    <w:p w14:paraId="2C16EAD9">
      <w:pPr>
        <w:spacing w:line="238" w:lineRule="auto"/>
        <w:rPr>
          <w:rFonts w:ascii="微软雅黑" w:hAnsi="微软雅黑" w:eastAsia="微软雅黑" w:cs="微软雅黑"/>
          <w:sz w:val="36"/>
          <w:szCs w:val="36"/>
        </w:rPr>
        <w:sectPr>
          <w:headerReference r:id="rId7" w:type="default"/>
          <w:footerReference r:id="rId8" w:type="default"/>
          <w:pgSz w:w="11900" w:h="16839"/>
          <w:pgMar w:top="400" w:right="0" w:bottom="400" w:left="0" w:header="0" w:footer="0" w:gutter="0"/>
          <w:cols w:space="720" w:num="1"/>
        </w:sectPr>
      </w:pPr>
    </w:p>
    <w:p w14:paraId="42BE188D">
      <w:pPr>
        <w:pStyle w:val="3"/>
        <w:spacing w:line="292" w:lineRule="auto"/>
      </w:pPr>
    </w:p>
    <w:p w14:paraId="5FD81553">
      <w:pPr>
        <w:pStyle w:val="3"/>
        <w:spacing w:line="293" w:lineRule="auto"/>
      </w:pPr>
    </w:p>
    <w:p w14:paraId="641CB1DD">
      <w:pPr>
        <w:spacing w:before="129" w:line="188" w:lineRule="auto"/>
        <w:ind w:left="4422"/>
        <w:outlineLvl w:val="1"/>
        <w:rPr>
          <w:rFonts w:ascii="微软雅黑" w:hAnsi="微软雅黑" w:eastAsia="微软雅黑" w:cs="微软雅黑"/>
          <w:sz w:val="30"/>
          <w:szCs w:val="30"/>
        </w:rPr>
      </w:pPr>
      <w:r>
        <w:rPr>
          <w:rFonts w:ascii="Times New Roman" w:hAnsi="Times New Roman" w:eastAsia="Times New Roman" w:cs="Times New Roman"/>
          <w:b/>
          <w:bCs/>
          <w:color w:val="036EFF"/>
          <w:spacing w:val="-2"/>
          <w:position w:val="-1"/>
          <w:sz w:val="29"/>
          <w:szCs w:val="29"/>
        </w:rPr>
        <w:t>1.</w:t>
      </w:r>
      <w:r>
        <w:rPr>
          <w:rFonts w:ascii="微软雅黑" w:hAnsi="微软雅黑" w:eastAsia="微软雅黑" w:cs="微软雅黑"/>
          <w:color w:val="036EFF"/>
          <w:spacing w:val="-2"/>
          <w:sz w:val="30"/>
          <w:szCs w:val="30"/>
        </w:rPr>
        <w:t>比选公告</w:t>
      </w:r>
    </w:p>
    <w:p w14:paraId="7C110497">
      <w:pPr>
        <w:pStyle w:val="3"/>
        <w:spacing w:line="267" w:lineRule="auto"/>
      </w:pPr>
    </w:p>
    <w:p w14:paraId="46ACF4A8">
      <w:pPr>
        <w:spacing w:before="75" w:line="311" w:lineRule="auto"/>
        <w:ind w:left="614" w:right="1465" w:firstLine="477"/>
        <w:rPr>
          <w:rFonts w:ascii="宋体" w:hAnsi="宋体" w:eastAsia="宋体" w:cs="宋体"/>
          <w:sz w:val="23"/>
          <w:szCs w:val="23"/>
        </w:rPr>
      </w:pPr>
      <w:r>
        <w:drawing>
          <wp:anchor distT="0" distB="0" distL="0" distR="0" simplePos="0" relativeHeight="251662336" behindDoc="1" locked="0" layoutInCell="1" allowOverlap="1">
            <wp:simplePos x="0" y="0"/>
            <wp:positionH relativeFrom="column">
              <wp:posOffset>0</wp:posOffset>
            </wp:positionH>
            <wp:positionV relativeFrom="paragraph">
              <wp:posOffset>-220345</wp:posOffset>
            </wp:positionV>
            <wp:extent cx="7022465" cy="641032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3"/>
                    <a:stretch>
                      <a:fillRect/>
                    </a:stretch>
                  </pic:blipFill>
                  <pic:spPr>
                    <a:xfrm>
                      <a:off x="0" y="0"/>
                      <a:ext cx="7022627" cy="6410228"/>
                    </a:xfrm>
                    <a:prstGeom prst="rect">
                      <a:avLst/>
                    </a:prstGeom>
                  </pic:spPr>
                </pic:pic>
              </a:graphicData>
            </a:graphic>
          </wp:anchor>
        </w:drawing>
      </w:r>
      <w:r>
        <w:rPr>
          <w:rFonts w:ascii="宋体" w:hAnsi="宋体" w:eastAsia="宋体" w:cs="宋体"/>
          <w:spacing w:val="9"/>
          <w:sz w:val="23"/>
          <w:szCs w:val="23"/>
        </w:rPr>
        <w:t xml:space="preserve">我单位 </w:t>
      </w:r>
      <w:r>
        <w:rPr>
          <w:rFonts w:ascii="宋体" w:hAnsi="宋体" w:eastAsia="宋体" w:cs="宋体"/>
          <w:spacing w:val="9"/>
          <w:sz w:val="23"/>
          <w:szCs w:val="23"/>
          <w:u w:val="single" w:color="auto"/>
        </w:rPr>
        <w:t>南京市雨花台烈士陵园管理局</w:t>
      </w:r>
      <w:r>
        <w:rPr>
          <w:rFonts w:ascii="宋体" w:hAnsi="宋体" w:eastAsia="宋体" w:cs="宋体"/>
          <w:spacing w:val="9"/>
          <w:sz w:val="23"/>
          <w:szCs w:val="23"/>
        </w:rPr>
        <w:t xml:space="preserve"> 对 </w:t>
      </w:r>
      <w:r>
        <w:rPr>
          <w:rFonts w:ascii="宋体" w:hAnsi="宋体" w:eastAsia="宋体" w:cs="宋体"/>
          <w:spacing w:val="9"/>
          <w:sz w:val="23"/>
          <w:szCs w:val="23"/>
          <w:u w:val="single" w:color="auto"/>
        </w:rPr>
        <w:t>202</w:t>
      </w:r>
      <w:r>
        <w:rPr>
          <w:rFonts w:ascii="宋体" w:hAnsi="宋体" w:eastAsia="宋体" w:cs="宋体"/>
          <w:spacing w:val="8"/>
          <w:sz w:val="23"/>
          <w:szCs w:val="23"/>
          <w:u w:val="single" w:color="auto"/>
        </w:rPr>
        <w:t>6年南京市新婚夫妇向革命烈士献花</w:t>
      </w:r>
      <w:r>
        <w:rPr>
          <w:rFonts w:ascii="宋体" w:hAnsi="宋体" w:eastAsia="宋体" w:cs="宋体"/>
          <w:spacing w:val="3"/>
          <w:sz w:val="23"/>
          <w:szCs w:val="23"/>
          <w:u w:val="single" w:color="auto"/>
        </w:rPr>
        <w:t>活动</w:t>
      </w:r>
      <w:r>
        <w:rPr>
          <w:rFonts w:ascii="宋体" w:hAnsi="宋体" w:eastAsia="宋体" w:cs="宋体"/>
          <w:spacing w:val="3"/>
          <w:sz w:val="23"/>
          <w:szCs w:val="23"/>
        </w:rPr>
        <w:t>采用网上比选进行采购。 欢迎有资格的供应商参加比选。</w:t>
      </w:r>
    </w:p>
    <w:p w14:paraId="031E2615">
      <w:pPr>
        <w:spacing w:line="237" w:lineRule="exact"/>
        <w:ind w:left="607"/>
        <w:outlineLvl w:val="2"/>
        <w:rPr>
          <w:rFonts w:ascii="微软雅黑" w:hAnsi="微软雅黑" w:eastAsia="微软雅黑" w:cs="微软雅黑"/>
          <w:sz w:val="23"/>
          <w:szCs w:val="23"/>
        </w:rPr>
      </w:pPr>
      <w:r>
        <w:rPr>
          <w:rFonts w:ascii="微软雅黑" w:hAnsi="微软雅黑" w:eastAsia="微软雅黑" w:cs="微软雅黑"/>
          <w:spacing w:val="6"/>
          <w:position w:val="-1"/>
          <w:sz w:val="23"/>
          <w:szCs w:val="23"/>
        </w:rPr>
        <w:t>一、</w:t>
      </w:r>
      <w:r>
        <w:rPr>
          <w:rFonts w:ascii="微软雅黑" w:hAnsi="微软雅黑" w:eastAsia="微软雅黑" w:cs="微软雅黑"/>
          <w:spacing w:val="-45"/>
          <w:position w:val="-1"/>
          <w:sz w:val="23"/>
          <w:szCs w:val="23"/>
        </w:rPr>
        <w:t xml:space="preserve"> </w:t>
      </w:r>
      <w:r>
        <w:rPr>
          <w:rFonts w:ascii="微软雅黑" w:hAnsi="微软雅黑" w:eastAsia="微软雅黑" w:cs="微软雅黑"/>
          <w:spacing w:val="6"/>
          <w:position w:val="-1"/>
          <w:sz w:val="23"/>
          <w:szCs w:val="23"/>
        </w:rPr>
        <w:t>比选项目内客</w:t>
      </w:r>
    </w:p>
    <w:p w14:paraId="19E9E096">
      <w:pPr>
        <w:spacing w:before="156" w:line="227" w:lineRule="auto"/>
        <w:ind w:left="1101"/>
        <w:rPr>
          <w:rFonts w:ascii="宋体" w:hAnsi="宋体" w:eastAsia="宋体" w:cs="宋体"/>
          <w:sz w:val="23"/>
          <w:szCs w:val="23"/>
        </w:rPr>
      </w:pPr>
      <w:r>
        <w:rPr>
          <w:rFonts w:ascii="宋体" w:hAnsi="宋体" w:eastAsia="宋体" w:cs="宋体"/>
          <w:spacing w:val="8"/>
          <w:sz w:val="23"/>
          <w:szCs w:val="23"/>
        </w:rPr>
        <w:t>（一）项目名称：2026年南京市新婚夫妇向革命</w:t>
      </w:r>
      <w:r>
        <w:rPr>
          <w:rFonts w:ascii="宋体" w:hAnsi="宋体" w:eastAsia="宋体" w:cs="宋体"/>
          <w:spacing w:val="7"/>
          <w:sz w:val="23"/>
          <w:szCs w:val="23"/>
        </w:rPr>
        <w:t>烈士献花活动</w:t>
      </w:r>
    </w:p>
    <w:p w14:paraId="0C1B10E6">
      <w:pPr>
        <w:spacing w:before="106" w:line="226" w:lineRule="auto"/>
        <w:ind w:left="1101"/>
        <w:rPr>
          <w:rFonts w:ascii="宋体" w:hAnsi="宋体" w:eastAsia="宋体" w:cs="宋体"/>
          <w:sz w:val="23"/>
          <w:szCs w:val="23"/>
        </w:rPr>
      </w:pPr>
      <w:r>
        <w:rPr>
          <w:rFonts w:ascii="宋体" w:hAnsi="宋体" w:eastAsia="宋体" w:cs="宋体"/>
          <w:spacing w:val="4"/>
          <w:sz w:val="23"/>
          <w:szCs w:val="23"/>
        </w:rPr>
        <w:t>（二）项目编号：</w:t>
      </w:r>
      <w:r>
        <w:rPr>
          <w:rFonts w:ascii="宋体" w:hAnsi="宋体" w:eastAsia="宋体" w:cs="宋体"/>
          <w:spacing w:val="-45"/>
          <w:sz w:val="23"/>
          <w:szCs w:val="23"/>
        </w:rPr>
        <w:t xml:space="preserve"> </w:t>
      </w:r>
      <w:r>
        <w:rPr>
          <w:rFonts w:ascii="宋体" w:hAnsi="宋体" w:eastAsia="宋体" w:cs="宋体"/>
          <w:sz w:val="23"/>
          <w:szCs w:val="23"/>
        </w:rPr>
        <w:t>JSZC</w:t>
      </w:r>
      <w:r>
        <w:rPr>
          <w:rFonts w:ascii="宋体" w:hAnsi="宋体" w:eastAsia="宋体" w:cs="宋体"/>
          <w:spacing w:val="4"/>
          <w:sz w:val="23"/>
          <w:szCs w:val="23"/>
        </w:rPr>
        <w:t>-320100-</w:t>
      </w:r>
      <w:r>
        <w:rPr>
          <w:rFonts w:ascii="宋体" w:hAnsi="宋体" w:eastAsia="宋体" w:cs="宋体"/>
          <w:sz w:val="23"/>
          <w:szCs w:val="23"/>
        </w:rPr>
        <w:t>FW</w:t>
      </w:r>
      <w:r>
        <w:rPr>
          <w:rFonts w:ascii="宋体" w:hAnsi="宋体" w:eastAsia="宋体" w:cs="宋体"/>
          <w:spacing w:val="4"/>
          <w:sz w:val="23"/>
          <w:szCs w:val="23"/>
        </w:rPr>
        <w:t>2026-08727</w:t>
      </w:r>
    </w:p>
    <w:p w14:paraId="20FEC10E">
      <w:pPr>
        <w:spacing w:before="108" w:line="224" w:lineRule="auto"/>
        <w:ind w:left="1101"/>
        <w:rPr>
          <w:rFonts w:ascii="宋体" w:hAnsi="宋体" w:eastAsia="宋体" w:cs="宋体"/>
          <w:sz w:val="23"/>
          <w:szCs w:val="23"/>
        </w:rPr>
      </w:pPr>
      <w:r>
        <w:rPr>
          <w:rFonts w:ascii="宋体" w:hAnsi="宋体" w:eastAsia="宋体" w:cs="宋体"/>
          <w:spacing w:val="2"/>
          <w:sz w:val="23"/>
          <w:szCs w:val="23"/>
        </w:rPr>
        <w:t>（三）项目预算：</w:t>
      </w:r>
      <w:r>
        <w:rPr>
          <w:rFonts w:ascii="宋体" w:hAnsi="宋体" w:eastAsia="宋体" w:cs="宋体"/>
          <w:spacing w:val="-51"/>
          <w:sz w:val="23"/>
          <w:szCs w:val="23"/>
        </w:rPr>
        <w:t xml:space="preserve"> </w:t>
      </w:r>
      <w:r>
        <w:rPr>
          <w:rFonts w:ascii="宋体" w:hAnsi="宋体" w:eastAsia="宋体" w:cs="宋体"/>
          <w:color w:val="F76560"/>
          <w:spacing w:val="2"/>
          <w:sz w:val="23"/>
          <w:szCs w:val="23"/>
        </w:rPr>
        <w:t>¥154,500</w:t>
      </w:r>
    </w:p>
    <w:p w14:paraId="5EA92138">
      <w:pPr>
        <w:spacing w:before="110" w:line="227" w:lineRule="auto"/>
        <w:ind w:left="1101"/>
        <w:rPr>
          <w:rFonts w:ascii="宋体" w:hAnsi="宋体" w:eastAsia="宋体" w:cs="宋体"/>
          <w:sz w:val="23"/>
          <w:szCs w:val="23"/>
        </w:rPr>
      </w:pPr>
      <w:r>
        <w:rPr>
          <w:rFonts w:ascii="宋体" w:hAnsi="宋体" w:eastAsia="宋体" w:cs="宋体"/>
          <w:spacing w:val="7"/>
          <w:sz w:val="23"/>
          <w:szCs w:val="23"/>
        </w:rPr>
        <w:t>（四）项目地点：南京市雨花台区雨花路215号</w:t>
      </w:r>
    </w:p>
    <w:p w14:paraId="173BE7D3">
      <w:pPr>
        <w:spacing w:before="106" w:line="229" w:lineRule="auto"/>
        <w:ind w:left="1101"/>
        <w:rPr>
          <w:rFonts w:ascii="宋体" w:hAnsi="宋体" w:eastAsia="宋体" w:cs="宋体"/>
          <w:sz w:val="23"/>
          <w:szCs w:val="23"/>
        </w:rPr>
      </w:pPr>
      <w:r>
        <w:rPr>
          <w:rFonts w:ascii="宋体" w:hAnsi="宋体" w:eastAsia="宋体" w:cs="宋体"/>
          <w:spacing w:val="7"/>
          <w:sz w:val="23"/>
          <w:szCs w:val="23"/>
        </w:rPr>
        <w:t>（五）比选方式：公开比选</w:t>
      </w:r>
    </w:p>
    <w:p w14:paraId="636CB730">
      <w:pPr>
        <w:spacing w:before="105" w:line="228" w:lineRule="auto"/>
        <w:ind w:left="1101"/>
        <w:rPr>
          <w:rFonts w:ascii="宋体" w:hAnsi="宋体" w:eastAsia="宋体" w:cs="宋体"/>
          <w:sz w:val="23"/>
          <w:szCs w:val="23"/>
        </w:rPr>
      </w:pPr>
      <w:r>
        <w:rPr>
          <w:rFonts w:ascii="宋体" w:hAnsi="宋体" w:eastAsia="宋体" w:cs="宋体"/>
          <w:spacing w:val="7"/>
          <w:sz w:val="23"/>
          <w:szCs w:val="23"/>
        </w:rPr>
        <w:t>（六）评审方法：综合评分法</w:t>
      </w:r>
    </w:p>
    <w:p w14:paraId="230079AA">
      <w:pPr>
        <w:spacing w:before="106" w:line="227" w:lineRule="auto"/>
        <w:ind w:left="1101"/>
        <w:rPr>
          <w:rFonts w:ascii="宋体" w:hAnsi="宋体" w:eastAsia="宋体" w:cs="宋体"/>
          <w:sz w:val="23"/>
          <w:szCs w:val="23"/>
        </w:rPr>
      </w:pPr>
      <w:r>
        <w:rPr>
          <w:rFonts w:ascii="宋体" w:hAnsi="宋体" w:eastAsia="宋体" w:cs="宋体"/>
          <w:spacing w:val="8"/>
          <w:sz w:val="23"/>
          <w:szCs w:val="23"/>
        </w:rPr>
        <w:t>（七）服务品目：文化、体育、娱乐服务/文化艺术服务/群众文化活动服务</w:t>
      </w:r>
    </w:p>
    <w:p w14:paraId="6F30F8EB">
      <w:pPr>
        <w:spacing w:before="107" w:line="227" w:lineRule="auto"/>
        <w:ind w:left="1101"/>
        <w:rPr>
          <w:rFonts w:ascii="宋体" w:hAnsi="宋体" w:eastAsia="宋体" w:cs="宋体"/>
          <w:sz w:val="23"/>
          <w:szCs w:val="23"/>
        </w:rPr>
      </w:pPr>
      <w:r>
        <w:rPr>
          <w:rFonts w:ascii="宋体" w:hAnsi="宋体" w:eastAsia="宋体" w:cs="宋体"/>
          <w:spacing w:val="7"/>
          <w:sz w:val="23"/>
          <w:szCs w:val="23"/>
        </w:rPr>
        <w:t>（八）所属行业：其他未列明行业</w:t>
      </w:r>
    </w:p>
    <w:p w14:paraId="633CDCE1">
      <w:pPr>
        <w:spacing w:before="107" w:line="227" w:lineRule="auto"/>
        <w:ind w:left="1101"/>
        <w:rPr>
          <w:rFonts w:ascii="宋体" w:hAnsi="宋体" w:eastAsia="宋体" w:cs="宋体"/>
          <w:sz w:val="23"/>
          <w:szCs w:val="23"/>
        </w:rPr>
      </w:pPr>
      <w:r>
        <w:rPr>
          <w:rFonts w:ascii="宋体" w:hAnsi="宋体" w:eastAsia="宋体" w:cs="宋体"/>
          <w:spacing w:val="5"/>
          <w:sz w:val="23"/>
          <w:szCs w:val="23"/>
        </w:rPr>
        <w:t>（九）服务周期：30天</w:t>
      </w:r>
    </w:p>
    <w:p w14:paraId="620AE294">
      <w:pPr>
        <w:spacing w:before="107" w:line="226" w:lineRule="auto"/>
        <w:ind w:left="1101"/>
        <w:rPr>
          <w:rFonts w:ascii="宋体" w:hAnsi="宋体" w:eastAsia="宋体" w:cs="宋体"/>
          <w:sz w:val="23"/>
          <w:szCs w:val="23"/>
        </w:rPr>
      </w:pPr>
      <w:r>
        <w:rPr>
          <w:rFonts w:ascii="宋体" w:hAnsi="宋体" w:eastAsia="宋体" w:cs="宋体"/>
          <w:spacing w:val="8"/>
          <w:sz w:val="23"/>
          <w:szCs w:val="23"/>
        </w:rPr>
        <w:t>（十）其他：本项目不接受联合体参与比选</w:t>
      </w:r>
    </w:p>
    <w:p w14:paraId="43164CBD">
      <w:pPr>
        <w:spacing w:before="103" w:line="237" w:lineRule="exact"/>
        <w:ind w:left="607"/>
        <w:outlineLvl w:val="2"/>
        <w:rPr>
          <w:rFonts w:ascii="微软雅黑" w:hAnsi="微软雅黑" w:eastAsia="微软雅黑" w:cs="微软雅黑"/>
          <w:sz w:val="23"/>
          <w:szCs w:val="23"/>
        </w:rPr>
      </w:pPr>
      <w:r>
        <w:rPr>
          <w:rFonts w:ascii="微软雅黑" w:hAnsi="微软雅黑" w:eastAsia="微软雅黑" w:cs="微软雅黑"/>
          <w:spacing w:val="8"/>
          <w:position w:val="-1"/>
          <w:sz w:val="23"/>
          <w:szCs w:val="23"/>
        </w:rPr>
        <w:t>二、资格要求</w:t>
      </w:r>
    </w:p>
    <w:p w14:paraId="2FE58249">
      <w:pPr>
        <w:spacing w:before="157" w:line="307" w:lineRule="auto"/>
        <w:ind w:left="649" w:right="1585" w:firstLine="440"/>
        <w:rPr>
          <w:rFonts w:ascii="宋体" w:hAnsi="宋体" w:eastAsia="宋体" w:cs="宋体"/>
          <w:sz w:val="23"/>
          <w:szCs w:val="23"/>
        </w:rPr>
      </w:pPr>
      <w:r>
        <w:rPr>
          <w:rFonts w:ascii="宋体" w:hAnsi="宋体" w:eastAsia="宋体" w:cs="宋体"/>
          <w:spacing w:val="9"/>
          <w:sz w:val="23"/>
          <w:szCs w:val="23"/>
        </w:rPr>
        <w:t>供应商是指参加网上比选竞争，并符合比选文件规定条件的法人、其他组织或者</w:t>
      </w:r>
      <w:r>
        <w:rPr>
          <w:rFonts w:ascii="宋体" w:hAnsi="宋体" w:eastAsia="宋体" w:cs="宋体"/>
          <w:spacing w:val="3"/>
          <w:sz w:val="23"/>
          <w:szCs w:val="23"/>
        </w:rPr>
        <w:t>自然人。合格的供应商应符合下列条件：</w:t>
      </w:r>
    </w:p>
    <w:p w14:paraId="3E09FEBC">
      <w:pPr>
        <w:spacing w:before="2" w:line="308" w:lineRule="auto"/>
        <w:ind w:left="1571" w:right="1585" w:hanging="224"/>
        <w:rPr>
          <w:rFonts w:ascii="宋体" w:hAnsi="宋体" w:eastAsia="宋体" w:cs="宋体"/>
          <w:sz w:val="23"/>
          <w:szCs w:val="23"/>
        </w:rPr>
      </w:pPr>
      <w:r>
        <w:rPr>
          <w:rFonts w:ascii="宋体" w:hAnsi="宋体" w:eastAsia="宋体" w:cs="宋体"/>
          <w:spacing w:val="9"/>
          <w:position w:val="1"/>
          <w:sz w:val="23"/>
          <w:szCs w:val="23"/>
        </w:rPr>
        <w:t>1.</w:t>
      </w:r>
      <w:r>
        <w:rPr>
          <w:rFonts w:ascii="宋体" w:hAnsi="宋体" w:eastAsia="宋体" w:cs="宋体"/>
          <w:spacing w:val="9"/>
          <w:sz w:val="23"/>
          <w:szCs w:val="23"/>
        </w:rPr>
        <w:t>具有独立承担民事责任的能力（法人或者其他组织提</w:t>
      </w:r>
      <w:r>
        <w:rPr>
          <w:rFonts w:ascii="宋体" w:hAnsi="宋体" w:eastAsia="宋体" w:cs="宋体"/>
          <w:spacing w:val="8"/>
          <w:sz w:val="23"/>
          <w:szCs w:val="23"/>
        </w:rPr>
        <w:t>供营业执照或法人证书</w:t>
      </w:r>
      <w:r>
        <w:rPr>
          <w:rFonts w:ascii="宋体" w:hAnsi="宋体" w:eastAsia="宋体" w:cs="宋体"/>
          <w:spacing w:val="7"/>
          <w:sz w:val="23"/>
          <w:szCs w:val="23"/>
        </w:rPr>
        <w:t>或组织机构代码证，自然人提供身份证，提供证明材料扫描件加盖公章</w:t>
      </w:r>
      <w:r>
        <w:rPr>
          <w:rFonts w:ascii="宋体" w:hAnsi="宋体" w:eastAsia="宋体" w:cs="宋体"/>
          <w:spacing w:val="16"/>
          <w:sz w:val="23"/>
          <w:szCs w:val="23"/>
        </w:rPr>
        <w:t>）；</w:t>
      </w:r>
    </w:p>
    <w:p w14:paraId="2907F9E5">
      <w:pPr>
        <w:spacing w:line="310" w:lineRule="auto"/>
        <w:ind w:left="1567" w:right="1585" w:hanging="235"/>
        <w:rPr>
          <w:rFonts w:ascii="宋体" w:hAnsi="宋体" w:eastAsia="宋体" w:cs="宋体"/>
          <w:sz w:val="23"/>
          <w:szCs w:val="23"/>
        </w:rPr>
      </w:pPr>
      <w:r>
        <w:rPr>
          <w:rFonts w:ascii="宋体" w:hAnsi="宋体" w:eastAsia="宋体" w:cs="宋体"/>
          <w:spacing w:val="9"/>
          <w:position w:val="1"/>
          <w:sz w:val="23"/>
          <w:szCs w:val="23"/>
        </w:rPr>
        <w:t>2.</w:t>
      </w:r>
      <w:r>
        <w:rPr>
          <w:rFonts w:ascii="宋体" w:hAnsi="宋体" w:eastAsia="宋体" w:cs="宋体"/>
          <w:spacing w:val="9"/>
          <w:sz w:val="23"/>
          <w:szCs w:val="23"/>
        </w:rPr>
        <w:t>具有良好的商业信誉和健全的财务会计制度（提供参加本次采购活动前的会计报表或响应截止时间前六个月内银行出具的资信证明，提供证明材料扫描</w:t>
      </w:r>
      <w:r>
        <w:rPr>
          <w:rFonts w:ascii="宋体" w:hAnsi="宋体" w:eastAsia="宋体" w:cs="宋体"/>
          <w:spacing w:val="6"/>
          <w:sz w:val="23"/>
          <w:szCs w:val="23"/>
        </w:rPr>
        <w:t>件加盖公章，成立不满一个月的可不提供</w:t>
      </w:r>
      <w:r>
        <w:rPr>
          <w:rFonts w:ascii="宋体" w:hAnsi="宋体" w:eastAsia="宋体" w:cs="宋体"/>
          <w:spacing w:val="8"/>
          <w:sz w:val="23"/>
          <w:szCs w:val="23"/>
        </w:rPr>
        <w:t>）；</w:t>
      </w:r>
    </w:p>
    <w:p w14:paraId="56044BF2">
      <w:pPr>
        <w:spacing w:before="2" w:line="308" w:lineRule="auto"/>
        <w:ind w:left="1572" w:right="1585" w:hanging="238"/>
        <w:rPr>
          <w:rFonts w:ascii="宋体" w:hAnsi="宋体" w:eastAsia="宋体" w:cs="宋体"/>
          <w:sz w:val="23"/>
          <w:szCs w:val="23"/>
        </w:rPr>
      </w:pPr>
      <w:r>
        <w:rPr>
          <w:rFonts w:ascii="宋体" w:hAnsi="宋体" w:eastAsia="宋体" w:cs="宋体"/>
          <w:spacing w:val="9"/>
          <w:position w:val="1"/>
          <w:sz w:val="23"/>
          <w:szCs w:val="23"/>
        </w:rPr>
        <w:t>3.</w:t>
      </w:r>
      <w:r>
        <w:rPr>
          <w:rFonts w:ascii="宋体" w:hAnsi="宋体" w:eastAsia="宋体" w:cs="宋体"/>
          <w:spacing w:val="9"/>
          <w:sz w:val="23"/>
          <w:szCs w:val="23"/>
        </w:rPr>
        <w:t>具有履行合同所必需的设备和专业技术能力（根据项目需求提供履行合同所</w:t>
      </w:r>
      <w:r>
        <w:rPr>
          <w:rFonts w:ascii="宋体" w:hAnsi="宋体" w:eastAsia="宋体" w:cs="宋体"/>
          <w:spacing w:val="7"/>
          <w:sz w:val="23"/>
          <w:szCs w:val="23"/>
        </w:rPr>
        <w:t>必需的设备和专业技术能力的声明或证明材料扫描件加盖公章</w:t>
      </w:r>
      <w:r>
        <w:rPr>
          <w:rFonts w:ascii="宋体" w:hAnsi="宋体" w:eastAsia="宋体" w:cs="宋体"/>
          <w:spacing w:val="9"/>
          <w:sz w:val="23"/>
          <w:szCs w:val="23"/>
        </w:rPr>
        <w:t>）；</w:t>
      </w:r>
    </w:p>
    <w:p w14:paraId="6B7C96B5">
      <w:pPr>
        <w:spacing w:before="3" w:line="312" w:lineRule="auto"/>
        <w:ind w:left="1572" w:right="1585" w:hanging="244"/>
        <w:rPr>
          <w:rFonts w:ascii="宋体" w:hAnsi="宋体" w:eastAsia="宋体" w:cs="宋体"/>
          <w:sz w:val="23"/>
          <w:szCs w:val="23"/>
        </w:rPr>
      </w:pPr>
      <w:r>
        <w:rPr>
          <w:rFonts w:ascii="宋体" w:hAnsi="宋体" w:eastAsia="宋体" w:cs="宋体"/>
          <w:spacing w:val="9"/>
          <w:sz w:val="23"/>
          <w:szCs w:val="23"/>
        </w:rPr>
        <w:t>4.有依法缴纳税收和社会保障资金的良好记录（提供参加本次采购活动前至少一个月：①提供缴纳税收的凭证；②提供缴纳社会保险的凭据</w:t>
      </w:r>
      <w:r>
        <w:rPr>
          <w:rFonts w:ascii="宋体" w:hAnsi="宋体" w:eastAsia="宋体" w:cs="宋体"/>
          <w:spacing w:val="15"/>
          <w:sz w:val="23"/>
          <w:szCs w:val="23"/>
        </w:rPr>
        <w:t>），</w:t>
      </w:r>
      <w:r>
        <w:rPr>
          <w:rFonts w:ascii="宋体" w:hAnsi="宋体" w:eastAsia="宋体" w:cs="宋体"/>
          <w:spacing w:val="9"/>
          <w:sz w:val="23"/>
          <w:szCs w:val="23"/>
        </w:rPr>
        <w:t>依法享受</w:t>
      </w:r>
      <w:r>
        <w:rPr>
          <w:rFonts w:ascii="宋体" w:hAnsi="宋体" w:eastAsia="宋体" w:cs="宋体"/>
          <w:spacing w:val="7"/>
          <w:sz w:val="23"/>
          <w:szCs w:val="23"/>
        </w:rPr>
        <w:t>免缴、缓缴的，提供证明材料。（提供证明材料扫描件加盖公章</w:t>
      </w:r>
      <w:r>
        <w:rPr>
          <w:rFonts w:ascii="宋体" w:hAnsi="宋体" w:eastAsia="宋体" w:cs="宋体"/>
          <w:spacing w:val="11"/>
          <w:sz w:val="23"/>
          <w:szCs w:val="23"/>
        </w:rPr>
        <w:t>）；</w:t>
      </w:r>
    </w:p>
    <w:p w14:paraId="045C01AF">
      <w:pPr>
        <w:spacing w:line="318" w:lineRule="auto"/>
        <w:ind w:left="1567" w:right="1585" w:hanging="233"/>
        <w:rPr>
          <w:rFonts w:ascii="宋体" w:hAnsi="宋体" w:eastAsia="宋体" w:cs="宋体"/>
          <w:sz w:val="23"/>
          <w:szCs w:val="23"/>
        </w:rPr>
      </w:pPr>
      <w:r>
        <w:rPr>
          <w:rFonts w:ascii="宋体" w:hAnsi="宋体" w:eastAsia="宋体" w:cs="宋体"/>
          <w:spacing w:val="9"/>
          <w:sz w:val="23"/>
          <w:szCs w:val="23"/>
        </w:rPr>
        <w:t>5.参加采购活动前三年内，在经营活动中没有重大违法记录（提供参加本次采购活动前3年内在经营活动中没有重大违法记录的书面声明扫描件加盖公</w:t>
      </w:r>
    </w:p>
    <w:p w14:paraId="39945F39">
      <w:pPr>
        <w:spacing w:before="2" w:line="226" w:lineRule="auto"/>
        <w:ind w:left="1578"/>
        <w:rPr>
          <w:rFonts w:ascii="宋体" w:hAnsi="宋体" w:eastAsia="宋体" w:cs="宋体"/>
          <w:sz w:val="23"/>
          <w:szCs w:val="23"/>
        </w:rPr>
      </w:pPr>
      <w:r>
        <w:rPr>
          <w:rFonts w:ascii="宋体" w:hAnsi="宋体" w:eastAsia="宋体" w:cs="宋体"/>
          <w:spacing w:val="-17"/>
          <w:sz w:val="23"/>
          <w:szCs w:val="23"/>
        </w:rPr>
        <w:t>章</w:t>
      </w:r>
      <w:r>
        <w:rPr>
          <w:rFonts w:ascii="宋体" w:hAnsi="宋体" w:eastAsia="宋体" w:cs="宋体"/>
          <w:spacing w:val="-9"/>
          <w:sz w:val="23"/>
          <w:szCs w:val="23"/>
        </w:rPr>
        <w:t>）；</w:t>
      </w:r>
    </w:p>
    <w:p w14:paraId="59E9E4E7">
      <w:pPr>
        <w:spacing w:before="92" w:line="239" w:lineRule="auto"/>
        <w:ind w:left="1331"/>
        <w:rPr>
          <w:rFonts w:ascii="宋体" w:hAnsi="宋体" w:eastAsia="宋体" w:cs="宋体"/>
          <w:sz w:val="23"/>
          <w:szCs w:val="23"/>
        </w:rPr>
      </w:pPr>
      <w:r>
        <w:rPr>
          <w:rFonts w:ascii="宋体" w:hAnsi="宋体" w:eastAsia="宋体" w:cs="宋体"/>
          <w:spacing w:val="8"/>
          <w:sz w:val="23"/>
          <w:szCs w:val="23"/>
        </w:rPr>
        <w:t>6.提供《南京市政府采购供应商信用承诺书》</w:t>
      </w:r>
    </w:p>
    <w:p w14:paraId="1D2958E0">
      <w:pPr>
        <w:spacing w:before="107" w:line="313" w:lineRule="auto"/>
        <w:ind w:left="1568" w:right="1585"/>
        <w:rPr>
          <w:rFonts w:ascii="宋体" w:hAnsi="宋体" w:eastAsia="宋体" w:cs="宋体"/>
          <w:sz w:val="23"/>
          <w:szCs w:val="23"/>
        </w:rPr>
      </w:pPr>
      <w:r>
        <w:rPr>
          <w:rFonts w:ascii="宋体" w:hAnsi="宋体" w:eastAsia="宋体" w:cs="宋体"/>
          <w:spacing w:val="9"/>
          <w:sz w:val="23"/>
          <w:szCs w:val="23"/>
        </w:rPr>
        <w:t>在采购资格审查环节，供应商只需提供书面《南京市政府采购供应商信用承</w:t>
      </w:r>
      <w:r>
        <w:rPr>
          <w:rFonts w:ascii="宋体" w:hAnsi="宋体" w:eastAsia="宋体" w:cs="宋体"/>
          <w:spacing w:val="5"/>
          <w:sz w:val="23"/>
          <w:szCs w:val="23"/>
        </w:rPr>
        <w:t>诺书》，即可替代以下证明材料：</w:t>
      </w:r>
    </w:p>
    <w:p w14:paraId="6E819DB9">
      <w:pPr>
        <w:spacing w:before="1" w:line="225" w:lineRule="auto"/>
        <w:ind w:left="1581"/>
        <w:rPr>
          <w:rFonts w:ascii="宋体" w:hAnsi="宋体" w:eastAsia="宋体" w:cs="宋体"/>
          <w:sz w:val="23"/>
          <w:szCs w:val="23"/>
        </w:rPr>
      </w:pPr>
      <w:r>
        <w:rPr>
          <w:rFonts w:ascii="宋体" w:hAnsi="宋体" w:eastAsia="宋体" w:cs="宋体"/>
          <w:spacing w:val="5"/>
          <w:sz w:val="23"/>
          <w:szCs w:val="23"/>
        </w:rPr>
        <w:t>（1）符合国家相关规定的财务状况报告；</w:t>
      </w:r>
    </w:p>
    <w:p w14:paraId="1FA86C48">
      <w:pPr>
        <w:spacing w:before="109" w:line="226" w:lineRule="auto"/>
        <w:ind w:left="1581"/>
        <w:rPr>
          <w:rFonts w:ascii="宋体" w:hAnsi="宋体" w:eastAsia="宋体" w:cs="宋体"/>
          <w:sz w:val="23"/>
          <w:szCs w:val="23"/>
        </w:rPr>
      </w:pPr>
      <w:r>
        <w:rPr>
          <w:rFonts w:ascii="宋体" w:hAnsi="宋体" w:eastAsia="宋体" w:cs="宋体"/>
          <w:spacing w:val="4"/>
          <w:sz w:val="23"/>
          <w:szCs w:val="23"/>
        </w:rPr>
        <w:t>（2）依法缴纳税收的证明材料；</w:t>
      </w:r>
    </w:p>
    <w:p w14:paraId="0D9A6FC7">
      <w:pPr>
        <w:spacing w:before="108" w:line="226" w:lineRule="auto"/>
        <w:ind w:left="1581"/>
        <w:rPr>
          <w:rFonts w:ascii="宋体" w:hAnsi="宋体" w:eastAsia="宋体" w:cs="宋体"/>
          <w:sz w:val="23"/>
          <w:szCs w:val="23"/>
        </w:rPr>
      </w:pPr>
      <w:r>
        <w:rPr>
          <w:rFonts w:ascii="宋体" w:hAnsi="宋体" w:eastAsia="宋体" w:cs="宋体"/>
          <w:spacing w:val="5"/>
          <w:sz w:val="23"/>
          <w:szCs w:val="23"/>
        </w:rPr>
        <w:t>（3）依法缴纳社会保障资金的证明材料；</w:t>
      </w:r>
    </w:p>
    <w:p w14:paraId="3CFB52DB">
      <w:pPr>
        <w:spacing w:before="108" w:line="226" w:lineRule="auto"/>
        <w:ind w:left="1581"/>
        <w:rPr>
          <w:rFonts w:ascii="宋体" w:hAnsi="宋体" w:eastAsia="宋体" w:cs="宋体"/>
          <w:sz w:val="23"/>
          <w:szCs w:val="23"/>
        </w:rPr>
      </w:pPr>
      <w:r>
        <w:rPr>
          <w:rFonts w:ascii="宋体" w:hAnsi="宋体" w:eastAsia="宋体" w:cs="宋体"/>
          <w:spacing w:val="7"/>
          <w:sz w:val="23"/>
          <w:szCs w:val="23"/>
        </w:rPr>
        <w:t>（4）具备履行政府采购合同所必需的设备和专业技术能力的证明材料；</w:t>
      </w:r>
    </w:p>
    <w:p w14:paraId="56B2C16A">
      <w:pPr>
        <w:spacing w:line="226" w:lineRule="auto"/>
        <w:rPr>
          <w:rFonts w:ascii="宋体" w:hAnsi="宋体" w:eastAsia="宋体" w:cs="宋体"/>
          <w:sz w:val="23"/>
          <w:szCs w:val="23"/>
        </w:rPr>
        <w:sectPr>
          <w:headerReference r:id="rId9" w:type="default"/>
          <w:footerReference r:id="rId10" w:type="default"/>
          <w:pgSz w:w="11900" w:h="16839"/>
          <w:pgMar w:top="518" w:right="0" w:bottom="429" w:left="839" w:header="241" w:footer="145" w:gutter="0"/>
          <w:cols w:space="720" w:num="1"/>
        </w:sectPr>
      </w:pPr>
    </w:p>
    <w:p w14:paraId="558B59A7">
      <w:pPr>
        <w:pStyle w:val="3"/>
        <w:spacing w:line="322" w:lineRule="auto"/>
      </w:pPr>
    </w:p>
    <w:p w14:paraId="6E48E2E7">
      <w:pPr>
        <w:spacing w:before="75" w:line="313" w:lineRule="auto"/>
        <w:ind w:left="1569" w:right="1713" w:firstLine="11"/>
        <w:rPr>
          <w:rFonts w:ascii="宋体" w:hAnsi="宋体" w:eastAsia="宋体" w:cs="宋体"/>
          <w:sz w:val="23"/>
          <w:szCs w:val="23"/>
        </w:rPr>
      </w:pPr>
      <w:r>
        <w:rPr>
          <w:rFonts w:ascii="宋体" w:hAnsi="宋体" w:eastAsia="宋体" w:cs="宋体"/>
          <w:spacing w:val="9"/>
          <w:sz w:val="23"/>
          <w:szCs w:val="23"/>
        </w:rPr>
        <w:t>（5）参加政府采购活动前三年内在经营活动中没有重</w:t>
      </w:r>
      <w:r>
        <w:rPr>
          <w:rFonts w:ascii="宋体" w:hAnsi="宋体" w:eastAsia="宋体" w:cs="宋体"/>
          <w:spacing w:val="8"/>
          <w:sz w:val="23"/>
          <w:szCs w:val="23"/>
        </w:rPr>
        <w:t>大违法记录的证明材</w:t>
      </w:r>
      <w:r>
        <w:rPr>
          <w:rFonts w:ascii="宋体" w:hAnsi="宋体" w:eastAsia="宋体" w:cs="宋体"/>
          <w:spacing w:val="-13"/>
          <w:sz w:val="23"/>
          <w:szCs w:val="23"/>
        </w:rPr>
        <w:t>料；</w:t>
      </w:r>
    </w:p>
    <w:p w14:paraId="1C5301FF">
      <w:pPr>
        <w:spacing w:before="1" w:line="312" w:lineRule="auto"/>
        <w:ind w:left="1569" w:right="1477" w:firstLine="11"/>
        <w:rPr>
          <w:rFonts w:ascii="宋体" w:hAnsi="宋体" w:eastAsia="宋体" w:cs="宋体"/>
          <w:sz w:val="23"/>
          <w:szCs w:val="23"/>
        </w:rPr>
      </w:pPr>
      <w:r>
        <w:rPr>
          <w:rFonts w:ascii="宋体" w:hAnsi="宋体" w:eastAsia="宋体" w:cs="宋体"/>
          <w:spacing w:val="9"/>
          <w:sz w:val="23"/>
          <w:szCs w:val="23"/>
        </w:rPr>
        <w:t>（6）未被列入失信被执行人、重大税收违法失信</w:t>
      </w:r>
      <w:r>
        <w:rPr>
          <w:rFonts w:ascii="宋体" w:hAnsi="宋体" w:eastAsia="宋体" w:cs="宋体"/>
          <w:spacing w:val="8"/>
          <w:sz w:val="23"/>
          <w:szCs w:val="23"/>
        </w:rPr>
        <w:t>主体、政府采购严重违法失</w:t>
      </w:r>
      <w:r>
        <w:rPr>
          <w:rFonts w:ascii="宋体" w:hAnsi="宋体" w:eastAsia="宋体" w:cs="宋体"/>
          <w:spacing w:val="6"/>
          <w:sz w:val="23"/>
          <w:szCs w:val="23"/>
        </w:rPr>
        <w:t>信行为记录名单的证明材料。</w:t>
      </w:r>
    </w:p>
    <w:p w14:paraId="7E6995DB">
      <w:pPr>
        <w:spacing w:line="226" w:lineRule="auto"/>
        <w:ind w:left="1569"/>
        <w:rPr>
          <w:rFonts w:ascii="宋体" w:hAnsi="宋体" w:eastAsia="宋体" w:cs="宋体"/>
          <w:sz w:val="23"/>
          <w:szCs w:val="23"/>
        </w:rPr>
      </w:pPr>
      <w:r>
        <w:drawing>
          <wp:anchor distT="0" distB="0" distL="0" distR="0" simplePos="0" relativeHeight="251665408" behindDoc="1" locked="0" layoutInCell="1" allowOverlap="1">
            <wp:simplePos x="0" y="0"/>
            <wp:positionH relativeFrom="column">
              <wp:posOffset>0</wp:posOffset>
            </wp:positionH>
            <wp:positionV relativeFrom="paragraph">
              <wp:posOffset>-683895</wp:posOffset>
            </wp:positionV>
            <wp:extent cx="7022465" cy="641032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4"/>
                    <a:stretch>
                      <a:fillRect/>
                    </a:stretch>
                  </pic:blipFill>
                  <pic:spPr>
                    <a:xfrm>
                      <a:off x="0" y="0"/>
                      <a:ext cx="7022627" cy="6410228"/>
                    </a:xfrm>
                    <a:prstGeom prst="rect">
                      <a:avLst/>
                    </a:prstGeom>
                  </pic:spPr>
                </pic:pic>
              </a:graphicData>
            </a:graphic>
          </wp:anchor>
        </w:drawing>
      </w:r>
      <w:r>
        <w:rPr>
          <w:rFonts w:ascii="宋体" w:hAnsi="宋体" w:eastAsia="宋体" w:cs="宋体"/>
          <w:spacing w:val="9"/>
          <w:sz w:val="23"/>
          <w:szCs w:val="23"/>
        </w:rPr>
        <w:t>供应商在中标（成交）后，上述由信用承诺书替代的证明材料（一式三</w:t>
      </w:r>
    </w:p>
    <w:p w14:paraId="71A638E0">
      <w:pPr>
        <w:spacing w:before="107" w:line="313" w:lineRule="auto"/>
        <w:ind w:left="1568" w:right="1585"/>
        <w:rPr>
          <w:rFonts w:ascii="宋体" w:hAnsi="宋体" w:eastAsia="宋体" w:cs="宋体"/>
          <w:sz w:val="23"/>
          <w:szCs w:val="23"/>
        </w:rPr>
      </w:pPr>
      <w:r>
        <w:rPr>
          <w:rFonts w:ascii="宋体" w:hAnsi="宋体" w:eastAsia="宋体" w:cs="宋体"/>
          <w:spacing w:val="9"/>
          <w:sz w:val="23"/>
          <w:szCs w:val="23"/>
        </w:rPr>
        <w:t>份</w:t>
      </w:r>
      <w:r>
        <w:rPr>
          <w:rFonts w:ascii="宋体" w:hAnsi="宋体" w:eastAsia="宋体" w:cs="宋体"/>
          <w:spacing w:val="16"/>
          <w:sz w:val="23"/>
          <w:szCs w:val="23"/>
        </w:rPr>
        <w:t>），</w:t>
      </w:r>
      <w:r>
        <w:rPr>
          <w:rFonts w:ascii="宋体" w:hAnsi="宋体" w:eastAsia="宋体" w:cs="宋体"/>
          <w:spacing w:val="9"/>
          <w:sz w:val="23"/>
          <w:szCs w:val="23"/>
        </w:rPr>
        <w:t>加盖公章按采购文件要求胶装提交采购人或采购代理机构核验。经核</w:t>
      </w:r>
      <w:r>
        <w:rPr>
          <w:rFonts w:ascii="宋体" w:hAnsi="宋体" w:eastAsia="宋体" w:cs="宋体"/>
          <w:spacing w:val="8"/>
          <w:sz w:val="23"/>
          <w:szCs w:val="23"/>
        </w:rPr>
        <w:t>验无误后，由采购人或采购代理机构发出中标（成交）通知书。</w:t>
      </w:r>
    </w:p>
    <w:p w14:paraId="3ACD2591">
      <w:pPr>
        <w:spacing w:line="226" w:lineRule="auto"/>
        <w:ind w:left="1569"/>
        <w:rPr>
          <w:rFonts w:ascii="宋体" w:hAnsi="宋体" w:eastAsia="宋体" w:cs="宋体"/>
          <w:sz w:val="23"/>
          <w:szCs w:val="23"/>
        </w:rPr>
      </w:pPr>
      <w:r>
        <w:rPr>
          <w:rFonts w:ascii="宋体" w:hAnsi="宋体" w:eastAsia="宋体" w:cs="宋体"/>
          <w:spacing w:val="7"/>
          <w:sz w:val="23"/>
          <w:szCs w:val="23"/>
        </w:rPr>
        <w:t>供应商涉及以下情形的，不适用信用承诺，仍须提供上述证明材料：</w:t>
      </w:r>
    </w:p>
    <w:p w14:paraId="6975203F">
      <w:pPr>
        <w:spacing w:before="108" w:line="226" w:lineRule="auto"/>
        <w:ind w:left="1581"/>
        <w:rPr>
          <w:rFonts w:ascii="宋体" w:hAnsi="宋体" w:eastAsia="宋体" w:cs="宋体"/>
          <w:sz w:val="23"/>
          <w:szCs w:val="23"/>
        </w:rPr>
      </w:pPr>
      <w:r>
        <w:rPr>
          <w:rFonts w:ascii="宋体" w:hAnsi="宋体" w:eastAsia="宋体" w:cs="宋体"/>
          <w:spacing w:val="4"/>
          <w:sz w:val="23"/>
          <w:szCs w:val="23"/>
        </w:rPr>
        <w:t>（1）供应商被列入严重失信主体名单；</w:t>
      </w:r>
    </w:p>
    <w:p w14:paraId="6A605D7A">
      <w:pPr>
        <w:spacing w:before="108" w:line="227" w:lineRule="auto"/>
        <w:ind w:left="1581"/>
        <w:rPr>
          <w:rFonts w:ascii="宋体" w:hAnsi="宋体" w:eastAsia="宋体" w:cs="宋体"/>
          <w:sz w:val="23"/>
          <w:szCs w:val="23"/>
        </w:rPr>
      </w:pPr>
      <w:r>
        <w:rPr>
          <w:rFonts w:ascii="宋体" w:hAnsi="宋体" w:eastAsia="宋体" w:cs="宋体"/>
          <w:spacing w:val="6"/>
          <w:sz w:val="23"/>
          <w:szCs w:val="23"/>
        </w:rPr>
        <w:t>（2）被相关监管部门作出行政处罚且尚在处罚有效期内；</w:t>
      </w:r>
    </w:p>
    <w:p w14:paraId="6BD4229A">
      <w:pPr>
        <w:spacing w:before="107" w:line="227" w:lineRule="auto"/>
        <w:ind w:left="1581"/>
        <w:rPr>
          <w:rFonts w:ascii="宋体" w:hAnsi="宋体" w:eastAsia="宋体" w:cs="宋体"/>
          <w:sz w:val="23"/>
          <w:szCs w:val="23"/>
        </w:rPr>
      </w:pPr>
      <w:r>
        <w:rPr>
          <w:rFonts w:ascii="宋体" w:hAnsi="宋体" w:eastAsia="宋体" w:cs="宋体"/>
          <w:spacing w:val="7"/>
          <w:sz w:val="23"/>
          <w:szCs w:val="23"/>
        </w:rPr>
        <w:t>（3）其他法律、行政法规规定的不适用信用承诺的情形。</w:t>
      </w:r>
    </w:p>
    <w:p w14:paraId="1220CF03">
      <w:pPr>
        <w:spacing w:before="107" w:line="311" w:lineRule="auto"/>
        <w:ind w:left="1569" w:right="1585"/>
        <w:rPr>
          <w:rFonts w:ascii="宋体" w:hAnsi="宋体" w:eastAsia="宋体" w:cs="宋体"/>
          <w:sz w:val="23"/>
          <w:szCs w:val="23"/>
        </w:rPr>
      </w:pPr>
      <w:r>
        <w:rPr>
          <w:rFonts w:ascii="宋体" w:hAnsi="宋体" w:eastAsia="宋体" w:cs="宋体"/>
          <w:spacing w:val="9"/>
          <w:sz w:val="23"/>
          <w:szCs w:val="23"/>
        </w:rPr>
        <w:t>供应商对信用承诺内容的真实性、合法性、有效性负责。如作出虚假信用承</w:t>
      </w:r>
      <w:r>
        <w:rPr>
          <w:rFonts w:ascii="宋体" w:hAnsi="宋体" w:eastAsia="宋体" w:cs="宋体"/>
          <w:spacing w:val="8"/>
          <w:sz w:val="23"/>
          <w:szCs w:val="23"/>
        </w:rPr>
        <w:t>诺，视同为“提供虚假材料谋取中标、成交”的违</w:t>
      </w:r>
      <w:r>
        <w:rPr>
          <w:rFonts w:ascii="宋体" w:hAnsi="宋体" w:eastAsia="宋体" w:cs="宋体"/>
          <w:spacing w:val="7"/>
          <w:sz w:val="23"/>
          <w:szCs w:val="23"/>
        </w:rPr>
        <w:t>法行为。</w:t>
      </w:r>
    </w:p>
    <w:p w14:paraId="4CA79768">
      <w:pPr>
        <w:spacing w:line="233" w:lineRule="exact"/>
        <w:ind w:left="603"/>
        <w:outlineLvl w:val="2"/>
        <w:rPr>
          <w:rFonts w:ascii="微软雅黑" w:hAnsi="微软雅黑" w:eastAsia="微软雅黑" w:cs="微软雅黑"/>
          <w:sz w:val="23"/>
          <w:szCs w:val="23"/>
        </w:rPr>
      </w:pPr>
      <w:r>
        <w:rPr>
          <w:rFonts w:ascii="微软雅黑" w:hAnsi="微软雅黑" w:eastAsia="微软雅黑" w:cs="微软雅黑"/>
          <w:spacing w:val="7"/>
          <w:position w:val="-1"/>
          <w:sz w:val="23"/>
          <w:szCs w:val="23"/>
        </w:rPr>
        <w:t>三、响应时间</w:t>
      </w:r>
    </w:p>
    <w:p w14:paraId="1DA2499D">
      <w:pPr>
        <w:spacing w:before="161" w:line="228" w:lineRule="auto"/>
        <w:ind w:left="1102"/>
        <w:rPr>
          <w:rFonts w:ascii="宋体" w:hAnsi="宋体" w:eastAsia="宋体" w:cs="宋体"/>
          <w:sz w:val="23"/>
          <w:szCs w:val="23"/>
        </w:rPr>
      </w:pPr>
      <w:r>
        <w:rPr>
          <w:rFonts w:ascii="宋体" w:hAnsi="宋体" w:eastAsia="宋体" w:cs="宋体"/>
          <w:spacing w:val="6"/>
          <w:sz w:val="23"/>
          <w:szCs w:val="23"/>
        </w:rPr>
        <w:t>响应开始时间：2026-08-20 18:00，响应截止时间：2026-08-28 10:00</w:t>
      </w:r>
    </w:p>
    <w:p w14:paraId="06519C93">
      <w:pPr>
        <w:spacing w:before="104" w:line="234" w:lineRule="exact"/>
        <w:ind w:left="632"/>
        <w:outlineLvl w:val="2"/>
        <w:rPr>
          <w:rFonts w:ascii="微软雅黑" w:hAnsi="微软雅黑" w:eastAsia="微软雅黑" w:cs="微软雅黑"/>
          <w:sz w:val="23"/>
          <w:szCs w:val="23"/>
        </w:rPr>
      </w:pPr>
      <w:r>
        <w:rPr>
          <w:rFonts w:ascii="微软雅黑" w:hAnsi="微软雅黑" w:eastAsia="微软雅黑" w:cs="微软雅黑"/>
          <w:spacing w:val="3"/>
          <w:position w:val="-1"/>
          <w:sz w:val="23"/>
          <w:szCs w:val="23"/>
        </w:rPr>
        <w:t>四、项目评审</w:t>
      </w:r>
    </w:p>
    <w:p w14:paraId="41E3521F">
      <w:pPr>
        <w:spacing w:before="157" w:line="228" w:lineRule="auto"/>
        <w:ind w:left="1092"/>
        <w:rPr>
          <w:rFonts w:ascii="宋体" w:hAnsi="宋体" w:eastAsia="宋体" w:cs="宋体"/>
          <w:sz w:val="23"/>
          <w:szCs w:val="23"/>
        </w:rPr>
      </w:pPr>
      <w:r>
        <w:rPr>
          <w:rFonts w:ascii="宋体" w:hAnsi="宋体" w:eastAsia="宋体" w:cs="宋体"/>
          <w:spacing w:val="6"/>
          <w:sz w:val="23"/>
          <w:szCs w:val="23"/>
        </w:rPr>
        <w:t>预计评审时间：2026-08-28 14</w:t>
      </w:r>
      <w:r>
        <w:rPr>
          <w:rFonts w:ascii="宋体" w:hAnsi="宋体" w:eastAsia="宋体" w:cs="宋体"/>
          <w:spacing w:val="5"/>
          <w:sz w:val="23"/>
          <w:szCs w:val="23"/>
        </w:rPr>
        <w:t>:30</w:t>
      </w:r>
    </w:p>
    <w:p w14:paraId="62F3FA68">
      <w:pPr>
        <w:spacing w:before="106" w:line="226" w:lineRule="auto"/>
        <w:ind w:left="1089"/>
        <w:rPr>
          <w:rFonts w:ascii="宋体" w:hAnsi="宋体" w:eastAsia="宋体" w:cs="宋体"/>
          <w:sz w:val="23"/>
          <w:szCs w:val="23"/>
        </w:rPr>
      </w:pPr>
      <w:r>
        <w:rPr>
          <w:rFonts w:ascii="宋体" w:hAnsi="宋体" w:eastAsia="宋体" w:cs="宋体"/>
          <w:spacing w:val="8"/>
          <w:sz w:val="23"/>
          <w:szCs w:val="23"/>
        </w:rPr>
        <w:t>评审地点：南京市建邺区庐山路158号嘉业国际城4幢2302室（会议室一）</w:t>
      </w:r>
    </w:p>
    <w:p w14:paraId="45477C96">
      <w:pPr>
        <w:spacing w:before="108" w:line="311" w:lineRule="auto"/>
        <w:ind w:left="609" w:right="1585" w:firstLine="483"/>
        <w:rPr>
          <w:rFonts w:ascii="宋体" w:hAnsi="宋体" w:eastAsia="宋体" w:cs="宋体"/>
          <w:sz w:val="23"/>
          <w:szCs w:val="23"/>
        </w:rPr>
      </w:pPr>
      <w:r>
        <w:rPr>
          <w:rFonts w:ascii="宋体" w:hAnsi="宋体" w:eastAsia="宋体" w:cs="宋体"/>
          <w:spacing w:val="9"/>
          <w:sz w:val="23"/>
          <w:szCs w:val="23"/>
        </w:rPr>
        <w:t>备注：具体的评审时间将在响应结束之后确定，并将通过平台消息通知所有参与</w:t>
      </w:r>
      <w:r>
        <w:rPr>
          <w:rFonts w:ascii="宋体" w:hAnsi="宋体" w:eastAsia="宋体" w:cs="宋体"/>
          <w:spacing w:val="2"/>
          <w:sz w:val="23"/>
          <w:szCs w:val="23"/>
        </w:rPr>
        <w:t>评审的供应商。</w:t>
      </w:r>
    </w:p>
    <w:p w14:paraId="3F04E6F9">
      <w:pPr>
        <w:spacing w:line="235" w:lineRule="exact"/>
        <w:ind w:left="607"/>
        <w:outlineLvl w:val="2"/>
        <w:rPr>
          <w:rFonts w:ascii="微软雅黑" w:hAnsi="微软雅黑" w:eastAsia="微软雅黑" w:cs="微软雅黑"/>
          <w:sz w:val="23"/>
          <w:szCs w:val="23"/>
        </w:rPr>
      </w:pPr>
      <w:r>
        <w:rPr>
          <w:rFonts w:ascii="微软雅黑" w:hAnsi="微软雅黑" w:eastAsia="微软雅黑" w:cs="微软雅黑"/>
          <w:spacing w:val="9"/>
          <w:position w:val="-1"/>
          <w:sz w:val="23"/>
          <w:szCs w:val="23"/>
        </w:rPr>
        <w:t>五、联系方式</w:t>
      </w:r>
    </w:p>
    <w:p w14:paraId="6CBFB308">
      <w:pPr>
        <w:spacing w:before="159" w:line="226" w:lineRule="auto"/>
        <w:ind w:left="1089"/>
        <w:rPr>
          <w:rFonts w:ascii="宋体" w:hAnsi="宋体" w:eastAsia="宋体" w:cs="宋体"/>
          <w:sz w:val="23"/>
          <w:szCs w:val="23"/>
        </w:rPr>
      </w:pPr>
      <w:r>
        <w:rPr>
          <w:rFonts w:ascii="宋体" w:hAnsi="宋体" w:eastAsia="宋体" w:cs="宋体"/>
          <w:spacing w:val="9"/>
          <w:sz w:val="23"/>
          <w:szCs w:val="23"/>
        </w:rPr>
        <w:t>采购人：南京市雨花台烈士陵园管理局</w:t>
      </w:r>
    </w:p>
    <w:p w14:paraId="13E38984">
      <w:pPr>
        <w:spacing w:before="108" w:line="228" w:lineRule="auto"/>
        <w:ind w:left="1093"/>
        <w:rPr>
          <w:rFonts w:ascii="宋体" w:hAnsi="宋体" w:eastAsia="宋体" w:cs="宋体"/>
          <w:sz w:val="23"/>
          <w:szCs w:val="23"/>
        </w:rPr>
      </w:pPr>
      <w:r>
        <w:rPr>
          <w:rFonts w:ascii="宋体" w:hAnsi="宋体" w:eastAsia="宋体" w:cs="宋体"/>
          <w:spacing w:val="8"/>
          <w:sz w:val="23"/>
          <w:szCs w:val="23"/>
        </w:rPr>
        <w:t>项目联系人：周菲菲</w:t>
      </w:r>
    </w:p>
    <w:p w14:paraId="0035085E">
      <w:pPr>
        <w:spacing w:before="106" w:line="229" w:lineRule="auto"/>
        <w:ind w:left="1091"/>
        <w:rPr>
          <w:rFonts w:ascii="宋体" w:hAnsi="宋体" w:eastAsia="宋体" w:cs="宋体"/>
          <w:sz w:val="23"/>
          <w:szCs w:val="23"/>
        </w:rPr>
      </w:pPr>
      <w:r>
        <w:rPr>
          <w:rFonts w:ascii="宋体" w:hAnsi="宋体" w:eastAsia="宋体" w:cs="宋体"/>
          <w:spacing w:val="5"/>
          <w:sz w:val="23"/>
          <w:szCs w:val="23"/>
        </w:rPr>
        <w:t>联系人电话：025-68783093</w:t>
      </w:r>
    </w:p>
    <w:p w14:paraId="7C6B4CDF">
      <w:pPr>
        <w:spacing w:before="104" w:line="228" w:lineRule="auto"/>
        <w:ind w:left="1110"/>
        <w:rPr>
          <w:rFonts w:ascii="宋体" w:hAnsi="宋体" w:eastAsia="宋体" w:cs="宋体"/>
          <w:sz w:val="23"/>
          <w:szCs w:val="23"/>
        </w:rPr>
      </w:pPr>
      <w:r>
        <w:rPr>
          <w:rFonts w:ascii="宋体" w:hAnsi="宋体" w:eastAsia="宋体" w:cs="宋体"/>
          <w:spacing w:val="4"/>
          <w:sz w:val="23"/>
          <w:szCs w:val="23"/>
        </w:rPr>
        <w:t>固定电话：025-68783093</w:t>
      </w:r>
    </w:p>
    <w:p w14:paraId="0A6FF665">
      <w:pPr>
        <w:spacing w:before="106" w:line="227" w:lineRule="auto"/>
        <w:ind w:left="1090"/>
        <w:rPr>
          <w:rFonts w:ascii="宋体" w:hAnsi="宋体" w:eastAsia="宋体" w:cs="宋体"/>
          <w:sz w:val="23"/>
          <w:szCs w:val="23"/>
        </w:rPr>
      </w:pPr>
      <w:r>
        <w:rPr>
          <w:rFonts w:ascii="宋体" w:hAnsi="宋体" w:eastAsia="宋体" w:cs="宋体"/>
          <w:spacing w:val="8"/>
          <w:sz w:val="23"/>
          <w:szCs w:val="23"/>
        </w:rPr>
        <w:t>地址：南京市雨花台区雨花路215号</w:t>
      </w:r>
    </w:p>
    <w:p w14:paraId="660EACDD">
      <w:pPr>
        <w:spacing w:before="102" w:line="238" w:lineRule="exact"/>
        <w:ind w:left="605"/>
        <w:outlineLvl w:val="2"/>
        <w:rPr>
          <w:rFonts w:ascii="微软雅黑" w:hAnsi="微软雅黑" w:eastAsia="微软雅黑" w:cs="微软雅黑"/>
          <w:sz w:val="23"/>
          <w:szCs w:val="23"/>
        </w:rPr>
      </w:pPr>
      <w:r>
        <w:rPr>
          <w:rFonts w:ascii="微软雅黑" w:hAnsi="微软雅黑" w:eastAsia="微软雅黑" w:cs="微软雅黑"/>
          <w:spacing w:val="9"/>
          <w:position w:val="-1"/>
          <w:sz w:val="23"/>
          <w:szCs w:val="23"/>
        </w:rPr>
        <w:t>六、比选文件澄清修改</w:t>
      </w:r>
    </w:p>
    <w:p w14:paraId="24EDC79D">
      <w:pPr>
        <w:spacing w:before="156" w:line="313" w:lineRule="auto"/>
        <w:ind w:left="621" w:right="1601" w:firstLine="479"/>
        <w:rPr>
          <w:rFonts w:ascii="宋体" w:hAnsi="宋体" w:eastAsia="宋体" w:cs="宋体"/>
          <w:sz w:val="23"/>
          <w:szCs w:val="23"/>
        </w:rPr>
      </w:pPr>
      <w:r>
        <w:rPr>
          <w:rFonts w:ascii="宋体" w:hAnsi="宋体" w:eastAsia="宋体" w:cs="宋体"/>
          <w:spacing w:val="9"/>
          <w:sz w:val="23"/>
          <w:szCs w:val="23"/>
        </w:rPr>
        <w:t>（一）采购人对已发出的比选文件进行必要澄清或者修改</w:t>
      </w:r>
      <w:r>
        <w:rPr>
          <w:rFonts w:ascii="宋体" w:hAnsi="宋体" w:eastAsia="宋体" w:cs="宋体"/>
          <w:spacing w:val="8"/>
          <w:sz w:val="23"/>
          <w:szCs w:val="23"/>
        </w:rPr>
        <w:t>的，将在网上比选开始</w:t>
      </w:r>
      <w:r>
        <w:rPr>
          <w:rFonts w:ascii="宋体" w:hAnsi="宋体" w:eastAsia="宋体" w:cs="宋体"/>
          <w:spacing w:val="3"/>
          <w:sz w:val="23"/>
          <w:szCs w:val="23"/>
        </w:rPr>
        <w:t>时间前发布更正公告。</w:t>
      </w:r>
    </w:p>
    <w:p w14:paraId="2C7109A5">
      <w:pPr>
        <w:spacing w:line="226" w:lineRule="auto"/>
        <w:ind w:left="1101"/>
        <w:rPr>
          <w:rFonts w:ascii="宋体" w:hAnsi="宋体" w:eastAsia="宋体" w:cs="宋体"/>
          <w:sz w:val="23"/>
          <w:szCs w:val="23"/>
        </w:rPr>
      </w:pPr>
      <w:r>
        <w:rPr>
          <w:rFonts w:ascii="宋体" w:hAnsi="宋体" w:eastAsia="宋体" w:cs="宋体"/>
          <w:spacing w:val="8"/>
          <w:sz w:val="23"/>
          <w:szCs w:val="23"/>
        </w:rPr>
        <w:t>（二）采购人在网上比选开始时间前，有权决定延</w:t>
      </w:r>
      <w:r>
        <w:rPr>
          <w:rFonts w:ascii="宋体" w:hAnsi="宋体" w:eastAsia="宋体" w:cs="宋体"/>
          <w:spacing w:val="7"/>
          <w:sz w:val="23"/>
          <w:szCs w:val="23"/>
        </w:rPr>
        <w:t>长比选开始时间。</w:t>
      </w:r>
    </w:p>
    <w:p w14:paraId="196A4210">
      <w:pPr>
        <w:pStyle w:val="3"/>
        <w:spacing w:line="322" w:lineRule="auto"/>
      </w:pPr>
    </w:p>
    <w:p w14:paraId="1C1B92CF">
      <w:pPr>
        <w:pStyle w:val="3"/>
        <w:spacing w:line="322" w:lineRule="auto"/>
      </w:pPr>
    </w:p>
    <w:p w14:paraId="2DE94D66">
      <w:pPr>
        <w:spacing w:before="133" w:line="185" w:lineRule="auto"/>
        <w:ind w:left="4260"/>
        <w:outlineLvl w:val="1"/>
        <w:rPr>
          <w:rFonts w:ascii="微软雅黑" w:hAnsi="微软雅黑" w:eastAsia="微软雅黑" w:cs="微软雅黑"/>
          <w:sz w:val="31"/>
          <w:szCs w:val="31"/>
        </w:rPr>
      </w:pPr>
      <w:r>
        <w:rPr>
          <w:rFonts w:ascii="Times New Roman" w:hAnsi="Times New Roman" w:eastAsia="Times New Roman" w:cs="Times New Roman"/>
          <w:b/>
          <w:bCs/>
          <w:color w:val="036EFF"/>
          <w:spacing w:val="-8"/>
          <w:position w:val="-1"/>
          <w:sz w:val="29"/>
          <w:szCs w:val="29"/>
        </w:rPr>
        <w:t>2.</w:t>
      </w:r>
      <w:r>
        <w:rPr>
          <w:rFonts w:ascii="微软雅黑" w:hAnsi="微软雅黑" w:eastAsia="微软雅黑" w:cs="微软雅黑"/>
          <w:color w:val="036EFF"/>
          <w:spacing w:val="-8"/>
          <w:sz w:val="31"/>
          <w:szCs w:val="31"/>
        </w:rPr>
        <w:t>供应商须知</w:t>
      </w:r>
    </w:p>
    <w:p w14:paraId="2A656123">
      <w:pPr>
        <w:spacing w:before="337" w:line="233" w:lineRule="exact"/>
        <w:ind w:left="607"/>
        <w:outlineLvl w:val="2"/>
        <w:rPr>
          <w:rFonts w:ascii="微软雅黑" w:hAnsi="微软雅黑" w:eastAsia="微软雅黑" w:cs="微软雅黑"/>
          <w:sz w:val="23"/>
          <w:szCs w:val="23"/>
        </w:rPr>
      </w:pPr>
      <w:r>
        <w:rPr>
          <w:rFonts w:ascii="微软雅黑" w:hAnsi="微软雅黑" w:eastAsia="微软雅黑" w:cs="微软雅黑"/>
          <w:spacing w:val="9"/>
          <w:position w:val="-1"/>
          <w:sz w:val="23"/>
          <w:szCs w:val="23"/>
        </w:rPr>
        <w:t>一、比选响应</w:t>
      </w:r>
    </w:p>
    <w:p w14:paraId="6122519A">
      <w:pPr>
        <w:spacing w:before="160" w:line="313" w:lineRule="auto"/>
        <w:ind w:left="609" w:right="1600" w:firstLine="491"/>
        <w:rPr>
          <w:rFonts w:ascii="宋体" w:hAnsi="宋体" w:eastAsia="宋体" w:cs="宋体"/>
          <w:sz w:val="23"/>
          <w:szCs w:val="23"/>
        </w:rPr>
      </w:pPr>
      <w:r>
        <w:rPr>
          <w:rFonts w:ascii="宋体" w:hAnsi="宋体" w:eastAsia="宋体" w:cs="宋体"/>
          <w:spacing w:val="9"/>
          <w:sz w:val="23"/>
          <w:szCs w:val="23"/>
        </w:rPr>
        <w:t>（一）供应商凭用户名和密码登录比选响应系统，在网上比</w:t>
      </w:r>
      <w:r>
        <w:rPr>
          <w:rFonts w:ascii="宋体" w:hAnsi="宋体" w:eastAsia="宋体" w:cs="宋体"/>
          <w:spacing w:val="8"/>
          <w:sz w:val="23"/>
          <w:szCs w:val="23"/>
        </w:rPr>
        <w:t>选截止时间前完成比</w:t>
      </w:r>
      <w:r>
        <w:rPr>
          <w:rFonts w:ascii="宋体" w:hAnsi="宋体" w:eastAsia="宋体" w:cs="宋体"/>
          <w:spacing w:val="-2"/>
          <w:sz w:val="23"/>
          <w:szCs w:val="23"/>
        </w:rPr>
        <w:t>选响应。</w:t>
      </w:r>
    </w:p>
    <w:p w14:paraId="0202DD57">
      <w:pPr>
        <w:spacing w:line="226" w:lineRule="auto"/>
        <w:ind w:left="1101"/>
        <w:rPr>
          <w:rFonts w:ascii="宋体" w:hAnsi="宋体" w:eastAsia="宋体" w:cs="宋体"/>
          <w:sz w:val="23"/>
          <w:szCs w:val="23"/>
        </w:rPr>
      </w:pPr>
      <w:r>
        <w:rPr>
          <w:rFonts w:ascii="宋体" w:hAnsi="宋体" w:eastAsia="宋体" w:cs="宋体"/>
          <w:spacing w:val="8"/>
          <w:sz w:val="23"/>
          <w:szCs w:val="23"/>
        </w:rPr>
        <w:t>（二）供应商应对用户名和密码妥善保管，如被他人盗用投标，后果</w:t>
      </w:r>
      <w:r>
        <w:rPr>
          <w:rFonts w:ascii="宋体" w:hAnsi="宋体" w:eastAsia="宋体" w:cs="宋体"/>
          <w:spacing w:val="7"/>
          <w:sz w:val="23"/>
          <w:szCs w:val="23"/>
        </w:rPr>
        <w:t>自负。</w:t>
      </w:r>
    </w:p>
    <w:p w14:paraId="61486317">
      <w:pPr>
        <w:spacing w:before="108" w:line="226" w:lineRule="auto"/>
        <w:ind w:left="1101"/>
        <w:rPr>
          <w:rFonts w:ascii="宋体" w:hAnsi="宋体" w:eastAsia="宋体" w:cs="宋体"/>
          <w:sz w:val="23"/>
          <w:szCs w:val="23"/>
        </w:rPr>
      </w:pPr>
      <w:r>
        <w:rPr>
          <w:rFonts w:ascii="宋体" w:hAnsi="宋体" w:eastAsia="宋体" w:cs="宋体"/>
          <w:spacing w:val="8"/>
          <w:sz w:val="23"/>
          <w:szCs w:val="23"/>
        </w:rPr>
        <w:t>（三）供应商应当对比选文件提出的要求和</w:t>
      </w:r>
      <w:r>
        <w:rPr>
          <w:rFonts w:ascii="宋体" w:hAnsi="宋体" w:eastAsia="宋体" w:cs="宋体"/>
          <w:spacing w:val="7"/>
          <w:sz w:val="23"/>
          <w:szCs w:val="23"/>
        </w:rPr>
        <w:t>条件作出实质性响应。</w:t>
      </w:r>
    </w:p>
    <w:p w14:paraId="0AF28749">
      <w:pPr>
        <w:spacing w:line="226" w:lineRule="auto"/>
        <w:rPr>
          <w:rFonts w:ascii="宋体" w:hAnsi="宋体" w:eastAsia="宋体" w:cs="宋体"/>
          <w:sz w:val="23"/>
          <w:szCs w:val="23"/>
        </w:rPr>
        <w:sectPr>
          <w:footerReference r:id="rId11" w:type="default"/>
          <w:pgSz w:w="11900" w:h="16839"/>
          <w:pgMar w:top="518" w:right="0" w:bottom="432" w:left="839" w:header="241" w:footer="145" w:gutter="0"/>
          <w:cols w:space="720" w:num="1"/>
        </w:sectPr>
      </w:pPr>
    </w:p>
    <w:p w14:paraId="76792465">
      <w:pPr>
        <w:pStyle w:val="3"/>
        <w:spacing w:line="322" w:lineRule="auto"/>
      </w:pPr>
    </w:p>
    <w:p w14:paraId="0BD70AF8">
      <w:pPr>
        <w:spacing w:before="75" w:line="313" w:lineRule="auto"/>
        <w:ind w:left="615" w:right="1594" w:firstLine="486"/>
        <w:rPr>
          <w:rFonts w:ascii="宋体" w:hAnsi="宋体" w:eastAsia="宋体" w:cs="宋体"/>
          <w:sz w:val="23"/>
          <w:szCs w:val="23"/>
        </w:rPr>
      </w:pPr>
      <w:r>
        <w:rPr>
          <w:rFonts w:ascii="宋体" w:hAnsi="宋体" w:eastAsia="宋体" w:cs="宋体"/>
          <w:spacing w:val="9"/>
          <w:sz w:val="23"/>
          <w:szCs w:val="23"/>
        </w:rPr>
        <w:t>（四）应急保障：供应商在操作比选时遇到问题，请按照比选邀请公布</w:t>
      </w:r>
      <w:r>
        <w:rPr>
          <w:rFonts w:ascii="宋体" w:hAnsi="宋体" w:eastAsia="宋体" w:cs="宋体"/>
          <w:spacing w:val="8"/>
          <w:sz w:val="23"/>
          <w:szCs w:val="23"/>
        </w:rPr>
        <w:t>的“比选</w:t>
      </w:r>
      <w:r>
        <w:rPr>
          <w:rFonts w:ascii="宋体" w:hAnsi="宋体" w:eastAsia="宋体" w:cs="宋体"/>
          <w:spacing w:val="5"/>
          <w:sz w:val="23"/>
          <w:szCs w:val="23"/>
        </w:rPr>
        <w:t>系统操作咨询”方式咨询。</w:t>
      </w:r>
    </w:p>
    <w:p w14:paraId="57B79EF7">
      <w:pPr>
        <w:spacing w:before="1" w:line="310" w:lineRule="auto"/>
        <w:ind w:left="616" w:right="1847" w:firstLine="485"/>
        <w:rPr>
          <w:rFonts w:ascii="宋体" w:hAnsi="宋体" w:eastAsia="宋体" w:cs="宋体"/>
          <w:sz w:val="23"/>
          <w:szCs w:val="23"/>
        </w:rPr>
      </w:pPr>
      <w:r>
        <w:rPr>
          <w:rFonts w:ascii="宋体" w:hAnsi="宋体" w:eastAsia="宋体" w:cs="宋体"/>
          <w:spacing w:val="8"/>
          <w:sz w:val="23"/>
          <w:szCs w:val="23"/>
        </w:rPr>
        <w:t>（五）供应商应当在比选响应截止时间前，将比选响应文件上传至比选响应系</w:t>
      </w:r>
      <w:r>
        <w:rPr>
          <w:rFonts w:ascii="宋体" w:hAnsi="宋体" w:eastAsia="宋体" w:cs="宋体"/>
          <w:spacing w:val="-9"/>
          <w:sz w:val="23"/>
          <w:szCs w:val="23"/>
        </w:rPr>
        <w:t>统。</w:t>
      </w:r>
    </w:p>
    <w:p w14:paraId="39AAC4C3">
      <w:pPr>
        <w:spacing w:line="239" w:lineRule="exact"/>
        <w:ind w:left="607"/>
        <w:outlineLvl w:val="2"/>
        <w:rPr>
          <w:rFonts w:ascii="微软雅黑" w:hAnsi="微软雅黑" w:eastAsia="微软雅黑" w:cs="微软雅黑"/>
          <w:sz w:val="23"/>
          <w:szCs w:val="23"/>
        </w:rPr>
      </w:pPr>
      <w:r>
        <w:drawing>
          <wp:anchor distT="0" distB="0" distL="0" distR="0" simplePos="0" relativeHeight="251668480" behindDoc="1" locked="0" layoutInCell="1" allowOverlap="1">
            <wp:simplePos x="0" y="0"/>
            <wp:positionH relativeFrom="column">
              <wp:posOffset>0</wp:posOffset>
            </wp:positionH>
            <wp:positionV relativeFrom="paragraph">
              <wp:posOffset>-769620</wp:posOffset>
            </wp:positionV>
            <wp:extent cx="7022465" cy="641032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5"/>
                    <a:stretch>
                      <a:fillRect/>
                    </a:stretch>
                  </pic:blipFill>
                  <pic:spPr>
                    <a:xfrm>
                      <a:off x="0" y="0"/>
                      <a:ext cx="7022627" cy="6410226"/>
                    </a:xfrm>
                    <a:prstGeom prst="rect">
                      <a:avLst/>
                    </a:prstGeom>
                  </pic:spPr>
                </pic:pic>
              </a:graphicData>
            </a:graphic>
          </wp:anchor>
        </w:drawing>
      </w:r>
      <w:r>
        <w:rPr>
          <w:rFonts w:ascii="微软雅黑" w:hAnsi="微软雅黑" w:eastAsia="微软雅黑" w:cs="微软雅黑"/>
          <w:spacing w:val="4"/>
          <w:position w:val="-1"/>
          <w:sz w:val="23"/>
          <w:szCs w:val="23"/>
        </w:rPr>
        <w:t>二、比选响应文件语言、计量单位、  货币</w:t>
      </w:r>
      <w:r>
        <w:rPr>
          <w:rFonts w:ascii="微软雅黑" w:hAnsi="微软雅黑" w:eastAsia="微软雅黑" w:cs="微软雅黑"/>
          <w:spacing w:val="3"/>
          <w:position w:val="-1"/>
          <w:sz w:val="23"/>
          <w:szCs w:val="23"/>
        </w:rPr>
        <w:t>、技术标准和编制</w:t>
      </w:r>
    </w:p>
    <w:p w14:paraId="4D5BEC76">
      <w:pPr>
        <w:spacing w:before="154" w:line="313" w:lineRule="auto"/>
        <w:ind w:left="609" w:right="1597" w:firstLine="491"/>
        <w:rPr>
          <w:rFonts w:ascii="宋体" w:hAnsi="宋体" w:eastAsia="宋体" w:cs="宋体"/>
          <w:sz w:val="23"/>
          <w:szCs w:val="23"/>
        </w:rPr>
      </w:pPr>
      <w:r>
        <w:rPr>
          <w:rFonts w:ascii="宋体" w:hAnsi="宋体" w:eastAsia="宋体" w:cs="宋体"/>
          <w:spacing w:val="9"/>
          <w:sz w:val="23"/>
          <w:szCs w:val="23"/>
        </w:rPr>
        <w:t>（一）供应商提交的响应文件、技术文件和资料，包括图纸中的</w:t>
      </w:r>
      <w:r>
        <w:rPr>
          <w:rFonts w:ascii="宋体" w:hAnsi="宋体" w:eastAsia="宋体" w:cs="宋体"/>
          <w:spacing w:val="8"/>
          <w:sz w:val="23"/>
          <w:szCs w:val="23"/>
        </w:rPr>
        <w:t>说明等，应当使用中文。响应文件中若有英文或其他语言文字的资料，应提供相应的中文翻译资料。对不同文本响应文件的解释发生异议的，以中文文本</w:t>
      </w:r>
      <w:r>
        <w:rPr>
          <w:rFonts w:ascii="宋体" w:hAnsi="宋体" w:eastAsia="宋体" w:cs="宋体"/>
          <w:spacing w:val="7"/>
          <w:sz w:val="23"/>
          <w:szCs w:val="23"/>
        </w:rPr>
        <w:t>为准。</w:t>
      </w:r>
    </w:p>
    <w:p w14:paraId="4B471140">
      <w:pPr>
        <w:spacing w:line="226" w:lineRule="auto"/>
        <w:ind w:left="1101"/>
        <w:rPr>
          <w:rFonts w:ascii="宋体" w:hAnsi="宋体" w:eastAsia="宋体" w:cs="宋体"/>
          <w:sz w:val="23"/>
          <w:szCs w:val="23"/>
        </w:rPr>
      </w:pPr>
      <w:r>
        <w:rPr>
          <w:rFonts w:ascii="宋体" w:hAnsi="宋体" w:eastAsia="宋体" w:cs="宋体"/>
          <w:spacing w:val="7"/>
          <w:sz w:val="23"/>
          <w:szCs w:val="23"/>
        </w:rPr>
        <w:t>（二）供应商所使用的计量单位应为国家法定计量单位。</w:t>
      </w:r>
    </w:p>
    <w:p w14:paraId="1AAC229F">
      <w:pPr>
        <w:spacing w:before="108" w:line="226" w:lineRule="auto"/>
        <w:ind w:left="1101"/>
        <w:rPr>
          <w:rFonts w:ascii="宋体" w:hAnsi="宋体" w:eastAsia="宋体" w:cs="宋体"/>
          <w:sz w:val="23"/>
          <w:szCs w:val="23"/>
        </w:rPr>
      </w:pPr>
      <w:r>
        <w:rPr>
          <w:rFonts w:ascii="宋体" w:hAnsi="宋体" w:eastAsia="宋体" w:cs="宋体"/>
          <w:spacing w:val="5"/>
          <w:sz w:val="23"/>
          <w:szCs w:val="23"/>
        </w:rPr>
        <w:t>（三）供应商应用人民币报价。</w:t>
      </w:r>
    </w:p>
    <w:p w14:paraId="78A00079">
      <w:pPr>
        <w:spacing w:before="109" w:line="226" w:lineRule="auto"/>
        <w:ind w:left="1101"/>
        <w:rPr>
          <w:rFonts w:ascii="宋体" w:hAnsi="宋体" w:eastAsia="宋体" w:cs="宋体"/>
          <w:sz w:val="23"/>
          <w:szCs w:val="23"/>
        </w:rPr>
      </w:pPr>
      <w:r>
        <w:rPr>
          <w:rFonts w:ascii="宋体" w:hAnsi="宋体" w:eastAsia="宋体" w:cs="宋体"/>
          <w:spacing w:val="7"/>
          <w:sz w:val="23"/>
          <w:szCs w:val="23"/>
        </w:rPr>
        <w:t>（四）供应商所使用的技术标准应遵循国家最新标准及规范。</w:t>
      </w:r>
    </w:p>
    <w:p w14:paraId="18A71AC4">
      <w:pPr>
        <w:spacing w:before="103" w:line="234" w:lineRule="exact"/>
        <w:ind w:left="603"/>
        <w:outlineLvl w:val="2"/>
        <w:rPr>
          <w:rFonts w:ascii="微软雅黑" w:hAnsi="微软雅黑" w:eastAsia="微软雅黑" w:cs="微软雅黑"/>
          <w:sz w:val="23"/>
          <w:szCs w:val="23"/>
        </w:rPr>
      </w:pPr>
      <w:r>
        <w:rPr>
          <w:rFonts w:ascii="微软雅黑" w:hAnsi="微软雅黑" w:eastAsia="微软雅黑" w:cs="微软雅黑"/>
          <w:spacing w:val="2"/>
          <w:position w:val="-1"/>
          <w:sz w:val="23"/>
          <w:szCs w:val="23"/>
        </w:rPr>
        <w:t>三、</w:t>
      </w:r>
      <w:r>
        <w:rPr>
          <w:rFonts w:ascii="微软雅黑" w:hAnsi="微软雅黑" w:eastAsia="微软雅黑" w:cs="微软雅黑"/>
          <w:spacing w:val="-42"/>
          <w:position w:val="-1"/>
          <w:sz w:val="23"/>
          <w:szCs w:val="23"/>
        </w:rPr>
        <w:t xml:space="preserve"> </w:t>
      </w:r>
      <w:r>
        <w:rPr>
          <w:rFonts w:ascii="微软雅黑" w:hAnsi="微软雅黑" w:eastAsia="微软雅黑" w:cs="微软雅黑"/>
          <w:spacing w:val="2"/>
          <w:position w:val="-1"/>
          <w:sz w:val="23"/>
          <w:szCs w:val="23"/>
        </w:rPr>
        <w:t>比选费用</w:t>
      </w:r>
    </w:p>
    <w:p w14:paraId="0C91FD2A">
      <w:pPr>
        <w:spacing w:before="159" w:line="313" w:lineRule="auto"/>
        <w:ind w:left="613" w:right="1595" w:firstLine="488"/>
        <w:rPr>
          <w:rFonts w:ascii="宋体" w:hAnsi="宋体" w:eastAsia="宋体" w:cs="宋体"/>
          <w:sz w:val="23"/>
          <w:szCs w:val="23"/>
        </w:rPr>
      </w:pPr>
      <w:r>
        <w:rPr>
          <w:rFonts w:ascii="宋体" w:hAnsi="宋体" w:eastAsia="宋体" w:cs="宋体"/>
          <w:spacing w:val="9"/>
          <w:sz w:val="23"/>
          <w:szCs w:val="23"/>
        </w:rPr>
        <w:t>（一）供应商应承担所有与准备和参加比选有关费用，采购人在任何</w:t>
      </w:r>
      <w:r>
        <w:rPr>
          <w:rFonts w:ascii="宋体" w:hAnsi="宋体" w:eastAsia="宋体" w:cs="宋体"/>
          <w:spacing w:val="8"/>
          <w:sz w:val="23"/>
          <w:szCs w:val="23"/>
        </w:rPr>
        <w:t>情况下均无</w:t>
      </w:r>
      <w:r>
        <w:rPr>
          <w:rFonts w:ascii="宋体" w:hAnsi="宋体" w:eastAsia="宋体" w:cs="宋体"/>
          <w:spacing w:val="5"/>
          <w:sz w:val="23"/>
          <w:szCs w:val="23"/>
        </w:rPr>
        <w:t>义务和责任承担这些费用。</w:t>
      </w:r>
    </w:p>
    <w:p w14:paraId="619768A9">
      <w:pPr>
        <w:spacing w:before="1" w:line="226" w:lineRule="auto"/>
        <w:ind w:left="1101"/>
        <w:rPr>
          <w:rFonts w:ascii="宋体" w:hAnsi="宋体" w:eastAsia="宋体" w:cs="宋体"/>
          <w:sz w:val="23"/>
          <w:szCs w:val="23"/>
        </w:rPr>
      </w:pPr>
      <w:r>
        <w:rPr>
          <w:rFonts w:ascii="宋体" w:hAnsi="宋体" w:eastAsia="宋体" w:cs="宋体"/>
          <w:spacing w:val="6"/>
          <w:sz w:val="23"/>
          <w:szCs w:val="23"/>
        </w:rPr>
        <w:t>（二）本次比选服务商城不收取任何费用。</w:t>
      </w:r>
    </w:p>
    <w:p w14:paraId="43478570">
      <w:pPr>
        <w:spacing w:before="106" w:line="237" w:lineRule="exact"/>
        <w:ind w:left="632"/>
        <w:outlineLvl w:val="2"/>
        <w:rPr>
          <w:rFonts w:ascii="微软雅黑" w:hAnsi="微软雅黑" w:eastAsia="微软雅黑" w:cs="微软雅黑"/>
          <w:sz w:val="23"/>
          <w:szCs w:val="23"/>
        </w:rPr>
      </w:pPr>
      <w:r>
        <w:rPr>
          <w:rFonts w:ascii="微软雅黑" w:hAnsi="微软雅黑" w:eastAsia="微软雅黑" w:cs="微软雅黑"/>
          <w:spacing w:val="4"/>
          <w:position w:val="-1"/>
          <w:sz w:val="23"/>
          <w:szCs w:val="23"/>
        </w:rPr>
        <w:t>四、比选报价</w:t>
      </w:r>
    </w:p>
    <w:p w14:paraId="39FBC45A">
      <w:pPr>
        <w:spacing w:before="154" w:line="226" w:lineRule="auto"/>
        <w:ind w:left="1101"/>
        <w:rPr>
          <w:rFonts w:ascii="宋体" w:hAnsi="宋体" w:eastAsia="宋体" w:cs="宋体"/>
          <w:sz w:val="23"/>
          <w:szCs w:val="23"/>
        </w:rPr>
      </w:pPr>
      <w:r>
        <w:rPr>
          <w:rFonts w:ascii="宋体" w:hAnsi="宋体" w:eastAsia="宋体" w:cs="宋体"/>
          <w:spacing w:val="7"/>
          <w:sz w:val="23"/>
          <w:szCs w:val="23"/>
        </w:rPr>
        <w:t>（一）比选需求为一个包，若无具体要求则供应商应整体报价。</w:t>
      </w:r>
    </w:p>
    <w:p w14:paraId="2C696844">
      <w:pPr>
        <w:spacing w:before="107" w:line="313" w:lineRule="auto"/>
        <w:ind w:left="609" w:right="1585" w:firstLine="491"/>
        <w:rPr>
          <w:rFonts w:ascii="宋体" w:hAnsi="宋体" w:eastAsia="宋体" w:cs="宋体"/>
          <w:sz w:val="23"/>
          <w:szCs w:val="23"/>
        </w:rPr>
      </w:pPr>
      <w:r>
        <w:rPr>
          <w:rFonts w:ascii="宋体" w:hAnsi="宋体" w:eastAsia="宋体" w:cs="宋体"/>
          <w:spacing w:val="9"/>
          <w:sz w:val="23"/>
          <w:szCs w:val="23"/>
        </w:rPr>
        <w:t>（二）供应商应保证本次报价中及服务期内派驻本项目服务团队</w:t>
      </w:r>
      <w:r>
        <w:rPr>
          <w:rFonts w:ascii="宋体" w:hAnsi="宋体" w:eastAsia="宋体" w:cs="宋体"/>
          <w:spacing w:val="8"/>
          <w:sz w:val="23"/>
          <w:szCs w:val="23"/>
        </w:rPr>
        <w:t>的每位员工的最</w:t>
      </w:r>
      <w:r>
        <w:rPr>
          <w:rFonts w:ascii="宋体" w:hAnsi="宋体" w:eastAsia="宋体" w:cs="宋体"/>
          <w:spacing w:val="10"/>
          <w:sz w:val="23"/>
          <w:szCs w:val="23"/>
        </w:rPr>
        <w:t>低月工资标准不低于本地区最低标准；工作时</w:t>
      </w:r>
      <w:r>
        <w:rPr>
          <w:rFonts w:ascii="宋体" w:hAnsi="宋体" w:eastAsia="宋体" w:cs="宋体"/>
          <w:spacing w:val="9"/>
          <w:sz w:val="23"/>
          <w:szCs w:val="23"/>
        </w:rPr>
        <w:t>间符合劳动法的规定。供应商应自行为</w:t>
      </w:r>
      <w:r>
        <w:rPr>
          <w:rFonts w:ascii="宋体" w:hAnsi="宋体" w:eastAsia="宋体" w:cs="宋体"/>
          <w:spacing w:val="10"/>
          <w:sz w:val="23"/>
          <w:szCs w:val="23"/>
        </w:rPr>
        <w:t>员工办理必须的保险，有关人员伤亡及第三</w:t>
      </w:r>
      <w:r>
        <w:rPr>
          <w:rFonts w:ascii="宋体" w:hAnsi="宋体" w:eastAsia="宋体" w:cs="宋体"/>
          <w:spacing w:val="9"/>
          <w:sz w:val="23"/>
          <w:szCs w:val="23"/>
        </w:rPr>
        <w:t>者责任险均由供应商考虑并包含在报价</w:t>
      </w:r>
    </w:p>
    <w:p w14:paraId="0C282439">
      <w:pPr>
        <w:spacing w:before="2" w:line="227" w:lineRule="auto"/>
        <w:ind w:left="633"/>
        <w:rPr>
          <w:rFonts w:ascii="宋体" w:hAnsi="宋体" w:eastAsia="宋体" w:cs="宋体"/>
          <w:sz w:val="23"/>
          <w:szCs w:val="23"/>
        </w:rPr>
      </w:pPr>
      <w:r>
        <w:rPr>
          <w:rFonts w:ascii="宋体" w:hAnsi="宋体" w:eastAsia="宋体" w:cs="宋体"/>
          <w:spacing w:val="-13"/>
          <w:sz w:val="23"/>
          <w:szCs w:val="23"/>
        </w:rPr>
        <w:t>中。</w:t>
      </w:r>
    </w:p>
    <w:p w14:paraId="6EBCC2FC">
      <w:pPr>
        <w:spacing w:before="106" w:line="312" w:lineRule="auto"/>
        <w:ind w:left="618" w:right="1604" w:firstLine="482"/>
        <w:rPr>
          <w:rFonts w:ascii="宋体" w:hAnsi="宋体" w:eastAsia="宋体" w:cs="宋体"/>
          <w:sz w:val="23"/>
          <w:szCs w:val="23"/>
        </w:rPr>
      </w:pPr>
      <w:r>
        <w:rPr>
          <w:rFonts w:ascii="宋体" w:hAnsi="宋体" w:eastAsia="宋体" w:cs="宋体"/>
          <w:spacing w:val="9"/>
          <w:sz w:val="23"/>
          <w:szCs w:val="23"/>
        </w:rPr>
        <w:t>（三）供应商任何错漏、优惠、竞争性报价不得作</w:t>
      </w:r>
      <w:r>
        <w:rPr>
          <w:rFonts w:ascii="宋体" w:hAnsi="宋体" w:eastAsia="宋体" w:cs="宋体"/>
          <w:spacing w:val="8"/>
          <w:sz w:val="23"/>
          <w:szCs w:val="23"/>
        </w:rPr>
        <w:t>为减轻责任、减少服务、增加</w:t>
      </w:r>
      <w:r>
        <w:rPr>
          <w:rFonts w:ascii="宋体" w:hAnsi="宋体" w:eastAsia="宋体" w:cs="宋体"/>
          <w:spacing w:val="4"/>
          <w:sz w:val="23"/>
          <w:szCs w:val="23"/>
        </w:rPr>
        <w:t>收费、降低质量的理由。</w:t>
      </w:r>
    </w:p>
    <w:p w14:paraId="60343268">
      <w:pPr>
        <w:spacing w:line="234" w:lineRule="exact"/>
        <w:ind w:left="607"/>
        <w:outlineLvl w:val="2"/>
        <w:rPr>
          <w:rFonts w:ascii="微软雅黑" w:hAnsi="微软雅黑" w:eastAsia="微软雅黑" w:cs="微软雅黑"/>
          <w:sz w:val="23"/>
          <w:szCs w:val="23"/>
        </w:rPr>
      </w:pPr>
      <w:r>
        <w:rPr>
          <w:rFonts w:ascii="微软雅黑" w:hAnsi="微软雅黑" w:eastAsia="微软雅黑" w:cs="微软雅黑"/>
          <w:spacing w:val="8"/>
          <w:position w:val="-1"/>
          <w:sz w:val="23"/>
          <w:szCs w:val="23"/>
        </w:rPr>
        <w:t>五、比选评审</w:t>
      </w:r>
    </w:p>
    <w:p w14:paraId="7F2E583E">
      <w:pPr>
        <w:spacing w:before="157" w:line="226" w:lineRule="auto"/>
        <w:ind w:left="1101"/>
        <w:rPr>
          <w:rFonts w:ascii="宋体" w:hAnsi="宋体" w:eastAsia="宋体" w:cs="宋体"/>
          <w:sz w:val="23"/>
          <w:szCs w:val="23"/>
        </w:rPr>
      </w:pPr>
      <w:r>
        <w:rPr>
          <w:rFonts w:ascii="宋体" w:hAnsi="宋体" w:eastAsia="宋体" w:cs="宋体"/>
          <w:spacing w:val="7"/>
          <w:sz w:val="23"/>
          <w:szCs w:val="23"/>
        </w:rPr>
        <w:t>（一）比选工作由采购人组织，对供应商的响应文件开始评审。</w:t>
      </w:r>
    </w:p>
    <w:p w14:paraId="21512076">
      <w:pPr>
        <w:spacing w:before="107" w:line="314" w:lineRule="auto"/>
        <w:ind w:left="609" w:right="1585" w:firstLine="491"/>
        <w:rPr>
          <w:rFonts w:ascii="宋体" w:hAnsi="宋体" w:eastAsia="宋体" w:cs="宋体"/>
          <w:sz w:val="23"/>
          <w:szCs w:val="23"/>
        </w:rPr>
      </w:pPr>
      <w:r>
        <w:rPr>
          <w:rFonts w:ascii="宋体" w:hAnsi="宋体" w:eastAsia="宋体" w:cs="宋体"/>
          <w:spacing w:val="9"/>
          <w:sz w:val="23"/>
          <w:szCs w:val="23"/>
        </w:rPr>
        <w:t>（二）符合性审查。依据比选文件的规定，从响应文件的有</w:t>
      </w:r>
      <w:r>
        <w:rPr>
          <w:rFonts w:ascii="宋体" w:hAnsi="宋体" w:eastAsia="宋体" w:cs="宋体"/>
          <w:spacing w:val="8"/>
          <w:sz w:val="23"/>
          <w:szCs w:val="23"/>
        </w:rPr>
        <w:t>效性、完整性和对比</w:t>
      </w:r>
      <w:r>
        <w:rPr>
          <w:rFonts w:ascii="宋体" w:hAnsi="宋体" w:eastAsia="宋体" w:cs="宋体"/>
          <w:spacing w:val="10"/>
          <w:sz w:val="23"/>
          <w:szCs w:val="23"/>
        </w:rPr>
        <w:t>选文件的响应程度进行审查，以确定是否对比</w:t>
      </w:r>
      <w:r>
        <w:rPr>
          <w:rFonts w:ascii="宋体" w:hAnsi="宋体" w:eastAsia="宋体" w:cs="宋体"/>
          <w:spacing w:val="9"/>
          <w:sz w:val="23"/>
          <w:szCs w:val="23"/>
        </w:rPr>
        <w:t>选文件的实质性要求作出响应。符合性</w:t>
      </w:r>
      <w:r>
        <w:rPr>
          <w:rFonts w:ascii="宋体" w:hAnsi="宋体" w:eastAsia="宋体" w:cs="宋体"/>
          <w:spacing w:val="1"/>
          <w:sz w:val="23"/>
          <w:szCs w:val="23"/>
        </w:rPr>
        <w:t>检查资料表如下：</w:t>
      </w:r>
    </w:p>
    <w:p w14:paraId="3654885B">
      <w:pPr>
        <w:spacing w:line="38" w:lineRule="exact"/>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8361"/>
      </w:tblGrid>
      <w:tr w14:paraId="5A187CC3">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372" w:hRule="atLeast"/>
        </w:trPr>
        <w:tc>
          <w:tcPr>
            <w:tcW w:w="636" w:type="dxa"/>
            <w:vAlign w:val="top"/>
          </w:tcPr>
          <w:p w14:paraId="340F1757">
            <w:pPr>
              <w:spacing w:before="68" w:line="231" w:lineRule="exact"/>
              <w:ind w:left="81"/>
              <w:rPr>
                <w:rFonts w:ascii="微软雅黑" w:hAnsi="微软雅黑" w:eastAsia="微软雅黑" w:cs="微软雅黑"/>
                <w:sz w:val="23"/>
                <w:szCs w:val="23"/>
              </w:rPr>
            </w:pPr>
            <w:r>
              <w:rPr>
                <w:rFonts w:ascii="微软雅黑" w:hAnsi="微软雅黑" w:eastAsia="微软雅黑" w:cs="微软雅黑"/>
                <w:spacing w:val="7"/>
                <w:position w:val="-1"/>
                <w:sz w:val="23"/>
                <w:szCs w:val="23"/>
              </w:rPr>
              <w:t>序号</w:t>
            </w:r>
          </w:p>
        </w:tc>
        <w:tc>
          <w:tcPr>
            <w:tcW w:w="8361" w:type="dxa"/>
            <w:vAlign w:val="top"/>
          </w:tcPr>
          <w:p w14:paraId="052250A2">
            <w:pPr>
              <w:spacing w:before="65" w:line="234" w:lineRule="exact"/>
              <w:ind w:left="3583"/>
              <w:rPr>
                <w:rFonts w:ascii="微软雅黑" w:hAnsi="微软雅黑" w:eastAsia="微软雅黑" w:cs="微软雅黑"/>
                <w:sz w:val="23"/>
                <w:szCs w:val="23"/>
              </w:rPr>
            </w:pPr>
            <w:r>
              <w:rPr>
                <w:rFonts w:ascii="微软雅黑" w:hAnsi="微软雅黑" w:eastAsia="微软雅黑" w:cs="微软雅黑"/>
                <w:spacing w:val="7"/>
                <w:position w:val="-1"/>
                <w:sz w:val="23"/>
                <w:szCs w:val="23"/>
              </w:rPr>
              <w:t>实质性要求</w:t>
            </w:r>
          </w:p>
        </w:tc>
      </w:tr>
      <w:tr w14:paraId="0AE37524">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PrEx>
        <w:trPr>
          <w:trHeight w:val="3729" w:hRule="atLeast"/>
        </w:trPr>
        <w:tc>
          <w:tcPr>
            <w:tcW w:w="636" w:type="dxa"/>
            <w:tcBorders>
              <w:bottom w:val="nil"/>
            </w:tcBorders>
            <w:vAlign w:val="top"/>
          </w:tcPr>
          <w:p w14:paraId="2E9BC606">
            <w:pPr>
              <w:spacing w:before="181" w:line="310" w:lineRule="exact"/>
              <w:ind w:left="281"/>
              <w:rPr>
                <w:rFonts w:ascii="宋体" w:hAnsi="宋体" w:eastAsia="宋体" w:cs="宋体"/>
                <w:sz w:val="23"/>
                <w:szCs w:val="23"/>
              </w:rPr>
            </w:pPr>
            <w:r>
              <w:rPr>
                <w:rFonts w:ascii="宋体" w:hAnsi="宋体" w:eastAsia="宋体" w:cs="宋体"/>
                <w:position w:val="1"/>
                <w:sz w:val="23"/>
                <w:szCs w:val="23"/>
              </w:rPr>
              <w:t>1</w:t>
            </w:r>
          </w:p>
        </w:tc>
        <w:tc>
          <w:tcPr>
            <w:tcW w:w="8361" w:type="dxa"/>
            <w:tcBorders>
              <w:bottom w:val="nil"/>
            </w:tcBorders>
            <w:vAlign w:val="top"/>
          </w:tcPr>
          <w:p w14:paraId="0CA69713">
            <w:pPr>
              <w:spacing w:before="181" w:line="227" w:lineRule="auto"/>
              <w:ind w:left="142"/>
              <w:rPr>
                <w:rFonts w:ascii="宋体" w:hAnsi="宋体" w:eastAsia="宋体" w:cs="宋体"/>
                <w:sz w:val="23"/>
                <w:szCs w:val="23"/>
              </w:rPr>
            </w:pPr>
            <w:r>
              <w:rPr>
                <w:rFonts w:ascii="宋体" w:hAnsi="宋体" w:eastAsia="宋体" w:cs="宋体"/>
                <w:spacing w:val="3"/>
                <w:sz w:val="23"/>
                <w:szCs w:val="23"/>
              </w:rPr>
              <w:t>响应文件必须符合以下要求：</w:t>
            </w:r>
          </w:p>
          <w:p w14:paraId="07785209">
            <w:pPr>
              <w:spacing w:before="76" w:line="226" w:lineRule="auto"/>
              <w:ind w:left="147"/>
              <w:rPr>
                <w:rFonts w:ascii="宋体" w:hAnsi="宋体" w:eastAsia="宋体" w:cs="宋体"/>
                <w:sz w:val="23"/>
                <w:szCs w:val="23"/>
              </w:rPr>
            </w:pPr>
            <w:r>
              <w:rPr>
                <w:rFonts w:ascii="宋体" w:hAnsi="宋体" w:eastAsia="宋体" w:cs="宋体"/>
                <w:spacing w:val="7"/>
                <w:sz w:val="23"/>
                <w:szCs w:val="23"/>
              </w:rPr>
              <w:t>1.报价：不得超过项目预算金额或控制价金额，</w:t>
            </w:r>
            <w:r>
              <w:rPr>
                <w:rFonts w:ascii="宋体" w:hAnsi="宋体" w:eastAsia="宋体" w:cs="宋体"/>
                <w:spacing w:val="6"/>
                <w:sz w:val="23"/>
                <w:szCs w:val="23"/>
              </w:rPr>
              <w:t>且不得提供备选报价；</w:t>
            </w:r>
          </w:p>
          <w:p w14:paraId="3CEDFE7C">
            <w:pPr>
              <w:spacing w:before="79" w:line="226" w:lineRule="auto"/>
              <w:ind w:left="132"/>
              <w:rPr>
                <w:rFonts w:ascii="宋体" w:hAnsi="宋体" w:eastAsia="宋体" w:cs="宋体"/>
                <w:sz w:val="23"/>
                <w:szCs w:val="23"/>
              </w:rPr>
            </w:pPr>
            <w:r>
              <w:rPr>
                <w:rFonts w:ascii="宋体" w:hAnsi="宋体" w:eastAsia="宋体" w:cs="宋体"/>
                <w:spacing w:val="7"/>
                <w:sz w:val="23"/>
                <w:szCs w:val="23"/>
              </w:rPr>
              <w:t>2.比选需求（可提供加盖公章的承诺函或偏离表，格式详见附件</w:t>
            </w:r>
            <w:r>
              <w:rPr>
                <w:rFonts w:ascii="宋体" w:hAnsi="宋体" w:eastAsia="宋体" w:cs="宋体"/>
                <w:spacing w:val="8"/>
                <w:sz w:val="23"/>
                <w:szCs w:val="23"/>
              </w:rPr>
              <w:t>）；</w:t>
            </w:r>
          </w:p>
          <w:p w14:paraId="68560782">
            <w:pPr>
              <w:spacing w:before="78" w:line="226" w:lineRule="auto"/>
              <w:ind w:left="134"/>
              <w:rPr>
                <w:rFonts w:ascii="宋体" w:hAnsi="宋体" w:eastAsia="宋体" w:cs="宋体"/>
                <w:sz w:val="23"/>
                <w:szCs w:val="23"/>
              </w:rPr>
            </w:pPr>
            <w:r>
              <w:rPr>
                <w:rFonts w:ascii="宋体" w:hAnsi="宋体" w:eastAsia="宋体" w:cs="宋体"/>
                <w:spacing w:val="5"/>
                <w:sz w:val="23"/>
                <w:szCs w:val="23"/>
              </w:rPr>
              <w:t>3.响应申请及声明（格式详见附件）；</w:t>
            </w:r>
          </w:p>
          <w:p w14:paraId="2C20C6C3">
            <w:pPr>
              <w:spacing w:before="78" w:line="226" w:lineRule="auto"/>
              <w:ind w:left="129"/>
              <w:rPr>
                <w:rFonts w:ascii="宋体" w:hAnsi="宋体" w:eastAsia="宋体" w:cs="宋体"/>
                <w:sz w:val="23"/>
                <w:szCs w:val="23"/>
              </w:rPr>
            </w:pPr>
            <w:r>
              <w:rPr>
                <w:rFonts w:ascii="宋体" w:hAnsi="宋体" w:eastAsia="宋体" w:cs="宋体"/>
                <w:spacing w:val="7"/>
                <w:sz w:val="23"/>
                <w:szCs w:val="23"/>
              </w:rPr>
              <w:t>4.法定代表人授权委托书及委托代理人的身份证复印件（格式详见附件</w:t>
            </w:r>
            <w:r>
              <w:rPr>
                <w:rFonts w:ascii="宋体" w:hAnsi="宋体" w:eastAsia="宋体" w:cs="宋体"/>
                <w:spacing w:val="14"/>
                <w:sz w:val="23"/>
                <w:szCs w:val="23"/>
              </w:rPr>
              <w:t>）；</w:t>
            </w:r>
          </w:p>
          <w:p w14:paraId="0EC022C9">
            <w:pPr>
              <w:spacing w:before="76" w:line="289" w:lineRule="auto"/>
              <w:ind w:left="130" w:right="316" w:firstLine="4"/>
              <w:rPr>
                <w:rFonts w:ascii="宋体" w:hAnsi="宋体" w:eastAsia="宋体" w:cs="宋体"/>
                <w:sz w:val="23"/>
                <w:szCs w:val="23"/>
              </w:rPr>
            </w:pPr>
            <w:r>
              <w:rPr>
                <w:rFonts w:ascii="宋体" w:hAnsi="宋体" w:eastAsia="宋体" w:cs="宋体"/>
                <w:spacing w:val="9"/>
                <w:sz w:val="23"/>
                <w:szCs w:val="23"/>
              </w:rPr>
              <w:t>5.本项目比选需求内容均不接受负偏离，供应商须逐条在采购需求偏离表中做出响应，并说明偏离情况；若未填写或未列明，则视为无偏离（比选需求</w:t>
            </w:r>
            <w:r>
              <w:rPr>
                <w:rFonts w:ascii="宋体" w:hAnsi="宋体" w:eastAsia="宋体" w:cs="宋体"/>
                <w:spacing w:val="6"/>
                <w:sz w:val="23"/>
                <w:szCs w:val="23"/>
              </w:rPr>
              <w:t>另有要求提供证明材料的除外）。</w:t>
            </w:r>
          </w:p>
          <w:p w14:paraId="0D593C53">
            <w:pPr>
              <w:spacing w:before="2" w:line="264" w:lineRule="auto"/>
              <w:ind w:left="132" w:right="375" w:hanging="1"/>
              <w:rPr>
                <w:rFonts w:ascii="宋体" w:hAnsi="宋体" w:eastAsia="宋体" w:cs="宋体"/>
                <w:sz w:val="23"/>
                <w:szCs w:val="23"/>
              </w:rPr>
            </w:pPr>
            <w:r>
              <w:rPr>
                <w:rFonts w:ascii="宋体" w:hAnsi="宋体" w:eastAsia="宋体" w:cs="宋体"/>
                <w:spacing w:val="7"/>
                <w:sz w:val="23"/>
                <w:szCs w:val="23"/>
              </w:rPr>
              <w:t>6.本项目成交供应商应于成交后提交与响应文件内容一致的纸质响应文件，</w:t>
            </w:r>
            <w:r>
              <w:rPr>
                <w:rFonts w:ascii="宋体" w:hAnsi="宋体" w:eastAsia="宋体" w:cs="宋体"/>
                <w:spacing w:val="5"/>
                <w:sz w:val="23"/>
                <w:szCs w:val="23"/>
              </w:rPr>
              <w:t>该文件须为</w:t>
            </w:r>
            <w:bookmarkStart w:id="0" w:name="_GoBack"/>
            <w:r>
              <w:rPr>
                <w:rFonts w:ascii="宋体" w:hAnsi="宋体" w:eastAsia="宋体" w:cs="宋体"/>
                <w:spacing w:val="5"/>
                <w:sz w:val="23"/>
                <w:szCs w:val="23"/>
              </w:rPr>
              <w:t>一正</w:t>
            </w:r>
            <w:r>
              <w:rPr>
                <w:rFonts w:hint="eastAsia" w:ascii="宋体" w:hAnsi="宋体" w:eastAsia="宋体" w:cs="宋体"/>
                <w:spacing w:val="5"/>
                <w:sz w:val="23"/>
                <w:szCs w:val="23"/>
                <w:lang w:val="en-US" w:eastAsia="zh-CN"/>
              </w:rPr>
              <w:t>二</w:t>
            </w:r>
            <w:r>
              <w:rPr>
                <w:rFonts w:ascii="宋体" w:hAnsi="宋体" w:eastAsia="宋体" w:cs="宋体"/>
                <w:spacing w:val="5"/>
                <w:sz w:val="23"/>
                <w:szCs w:val="23"/>
              </w:rPr>
              <w:t>副，</w:t>
            </w:r>
            <w:bookmarkEnd w:id="0"/>
            <w:r>
              <w:rPr>
                <w:rFonts w:ascii="宋体" w:hAnsi="宋体" w:eastAsia="宋体" w:cs="宋体"/>
                <w:spacing w:val="5"/>
                <w:sz w:val="23"/>
                <w:szCs w:val="23"/>
              </w:rPr>
              <w:t>并加盖公章；</w:t>
            </w:r>
          </w:p>
        </w:tc>
      </w:tr>
    </w:tbl>
    <w:p w14:paraId="795A4992">
      <w:pPr>
        <w:pStyle w:val="3"/>
      </w:pPr>
    </w:p>
    <w:p w14:paraId="0BF6850E">
      <w:pPr>
        <w:sectPr>
          <w:footerReference r:id="rId12" w:type="default"/>
          <w:pgSz w:w="11900" w:h="16839"/>
          <w:pgMar w:top="518" w:right="0" w:bottom="432" w:left="839" w:header="241" w:footer="147" w:gutter="0"/>
          <w:cols w:space="720" w:num="1"/>
        </w:sectPr>
      </w:pPr>
    </w:p>
    <w:p w14:paraId="377768F8">
      <w:pPr>
        <w:spacing w:before="79"/>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8361"/>
      </w:tblGrid>
      <w:tr w14:paraId="23CBBF4D">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844" w:hRule="atLeast"/>
        </w:trPr>
        <w:tc>
          <w:tcPr>
            <w:tcW w:w="636" w:type="dxa"/>
            <w:tcBorders>
              <w:top w:val="nil"/>
            </w:tcBorders>
            <w:vAlign w:val="top"/>
          </w:tcPr>
          <w:p w14:paraId="2CBC7EE6">
            <w:pPr>
              <w:rPr>
                <w:rFonts w:ascii="Arial"/>
                <w:sz w:val="21"/>
              </w:rPr>
            </w:pPr>
          </w:p>
        </w:tc>
        <w:tc>
          <w:tcPr>
            <w:tcW w:w="8361" w:type="dxa"/>
            <w:tcBorders>
              <w:top w:val="nil"/>
            </w:tcBorders>
            <w:vAlign w:val="top"/>
          </w:tcPr>
          <w:p w14:paraId="38D3EE6F">
            <w:pPr>
              <w:pStyle w:val="7"/>
              <w:spacing w:before="63" w:line="290" w:lineRule="auto"/>
              <w:ind w:left="142" w:right="316" w:hanging="7"/>
            </w:pPr>
            <w:r>
              <w:drawing>
                <wp:anchor distT="0" distB="0" distL="0" distR="0" simplePos="0" relativeHeight="251669504" behindDoc="1" locked="0" layoutInCell="1" allowOverlap="1">
                  <wp:simplePos x="0" y="0"/>
                  <wp:positionH relativeFrom="column">
                    <wp:posOffset>-789940</wp:posOffset>
                  </wp:positionH>
                  <wp:positionV relativeFrom="paragraph">
                    <wp:posOffset>151765</wp:posOffset>
                  </wp:positionV>
                  <wp:extent cx="7022465" cy="641032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6"/>
                          <a:stretch>
                            <a:fillRect/>
                          </a:stretch>
                        </pic:blipFill>
                        <pic:spPr>
                          <a:xfrm>
                            <a:off x="0" y="0"/>
                            <a:ext cx="7022627" cy="6410228"/>
                          </a:xfrm>
                          <a:prstGeom prst="rect">
                            <a:avLst/>
                          </a:prstGeom>
                        </pic:spPr>
                      </pic:pic>
                    </a:graphicData>
                  </a:graphic>
                </wp:anchor>
              </w:drawing>
            </w:r>
            <w:r>
              <w:rPr>
                <w:spacing w:val="9"/>
              </w:rPr>
              <w:t>7.本项目实行电子招投标，供应商须在响应截止时间前将资格审查及评标所</w:t>
            </w:r>
            <w:r>
              <w:rPr>
                <w:spacing w:val="6"/>
              </w:rPr>
              <w:t>需材料编入电子响应文件中，否则视为未提供。</w:t>
            </w:r>
          </w:p>
        </w:tc>
      </w:tr>
    </w:tbl>
    <w:p w14:paraId="74F1B849">
      <w:pPr>
        <w:spacing w:before="198" w:line="227" w:lineRule="auto"/>
        <w:ind w:left="1101"/>
        <w:rPr>
          <w:rFonts w:ascii="宋体" w:hAnsi="宋体" w:eastAsia="宋体" w:cs="宋体"/>
          <w:sz w:val="23"/>
          <w:szCs w:val="23"/>
        </w:rPr>
      </w:pPr>
      <w:r>
        <w:rPr>
          <w:rFonts w:ascii="宋体" w:hAnsi="宋体" w:eastAsia="宋体" w:cs="宋体"/>
          <w:spacing w:val="9"/>
          <w:sz w:val="23"/>
          <w:szCs w:val="23"/>
        </w:rPr>
        <w:t>（三）有下列情形之一的，比选响应文件为无效响应</w:t>
      </w:r>
      <w:r>
        <w:rPr>
          <w:rFonts w:ascii="宋体" w:hAnsi="宋体" w:eastAsia="宋体" w:cs="宋体"/>
          <w:spacing w:val="8"/>
          <w:sz w:val="23"/>
          <w:szCs w:val="23"/>
        </w:rPr>
        <w:t>文件</w:t>
      </w:r>
    </w:p>
    <w:p w14:paraId="0CD9023F">
      <w:pPr>
        <w:spacing w:before="106" w:line="227" w:lineRule="auto"/>
        <w:ind w:left="1101"/>
        <w:rPr>
          <w:rFonts w:ascii="宋体" w:hAnsi="宋体" w:eastAsia="宋体" w:cs="宋体"/>
          <w:sz w:val="23"/>
          <w:szCs w:val="23"/>
        </w:rPr>
      </w:pPr>
      <w:r>
        <w:rPr>
          <w:rFonts w:ascii="宋体" w:hAnsi="宋体" w:eastAsia="宋体" w:cs="宋体"/>
          <w:spacing w:val="6"/>
          <w:sz w:val="23"/>
          <w:szCs w:val="23"/>
        </w:rPr>
        <w:t>（1）响应文件未对实质性要求作出实质性响应的；</w:t>
      </w:r>
    </w:p>
    <w:p w14:paraId="2706F524">
      <w:pPr>
        <w:spacing w:before="107" w:line="226" w:lineRule="auto"/>
        <w:ind w:left="1101"/>
        <w:rPr>
          <w:rFonts w:ascii="宋体" w:hAnsi="宋体" w:eastAsia="宋体" w:cs="宋体"/>
          <w:sz w:val="23"/>
          <w:szCs w:val="23"/>
        </w:rPr>
      </w:pPr>
      <w:r>
        <w:rPr>
          <w:rFonts w:ascii="宋体" w:hAnsi="宋体" w:eastAsia="宋体" w:cs="宋体"/>
          <w:spacing w:val="5"/>
          <w:sz w:val="23"/>
          <w:szCs w:val="23"/>
        </w:rPr>
        <w:t>（2）响应文件含有采购人不能接受附加条件的；</w:t>
      </w:r>
    </w:p>
    <w:p w14:paraId="760274CE">
      <w:pPr>
        <w:spacing w:before="107" w:line="313" w:lineRule="auto"/>
        <w:ind w:left="610" w:right="1480" w:firstLine="490"/>
        <w:rPr>
          <w:rFonts w:ascii="宋体" w:hAnsi="宋体" w:eastAsia="宋体" w:cs="宋体"/>
          <w:sz w:val="23"/>
          <w:szCs w:val="23"/>
        </w:rPr>
      </w:pPr>
      <w:r>
        <w:rPr>
          <w:rFonts w:ascii="宋体" w:hAnsi="宋体" w:eastAsia="宋体" w:cs="宋体"/>
          <w:spacing w:val="9"/>
          <w:sz w:val="23"/>
          <w:szCs w:val="23"/>
        </w:rPr>
        <w:t>（3）评审小组认为供应商的报价明显低于成本价或</w:t>
      </w:r>
      <w:r>
        <w:rPr>
          <w:rFonts w:ascii="宋体" w:hAnsi="宋体" w:eastAsia="宋体" w:cs="宋体"/>
          <w:spacing w:val="8"/>
          <w:sz w:val="23"/>
          <w:szCs w:val="23"/>
        </w:rPr>
        <w:t>市场合理水平，有可能影响产</w:t>
      </w:r>
      <w:r>
        <w:rPr>
          <w:rFonts w:ascii="宋体" w:hAnsi="宋体" w:eastAsia="宋体" w:cs="宋体"/>
          <w:spacing w:val="10"/>
          <w:sz w:val="23"/>
          <w:szCs w:val="23"/>
        </w:rPr>
        <w:t>品质量或者不能诚信履约的，应当要求其在</w:t>
      </w:r>
      <w:r>
        <w:rPr>
          <w:rFonts w:ascii="宋体" w:hAnsi="宋体" w:eastAsia="宋体" w:cs="宋体"/>
          <w:spacing w:val="9"/>
          <w:sz w:val="23"/>
          <w:szCs w:val="23"/>
        </w:rPr>
        <w:t>合理的时间内提供书面说明，必要时提交</w:t>
      </w:r>
      <w:r>
        <w:rPr>
          <w:rFonts w:ascii="宋体" w:hAnsi="宋体" w:eastAsia="宋体" w:cs="宋体"/>
          <w:spacing w:val="10"/>
          <w:sz w:val="23"/>
          <w:szCs w:val="23"/>
        </w:rPr>
        <w:t>相关证明材料；供应商不能证明其报价合理</w:t>
      </w:r>
      <w:r>
        <w:rPr>
          <w:rFonts w:ascii="宋体" w:hAnsi="宋体" w:eastAsia="宋体" w:cs="宋体"/>
          <w:spacing w:val="9"/>
          <w:sz w:val="23"/>
          <w:szCs w:val="23"/>
        </w:rPr>
        <w:t>性的，评审小组应当将其作为无效响应处</w:t>
      </w:r>
      <w:r>
        <w:rPr>
          <w:rFonts w:ascii="宋体" w:hAnsi="宋体" w:eastAsia="宋体" w:cs="宋体"/>
          <w:spacing w:val="-13"/>
          <w:sz w:val="23"/>
          <w:szCs w:val="23"/>
        </w:rPr>
        <w:t>理；</w:t>
      </w:r>
    </w:p>
    <w:p w14:paraId="7780B86D">
      <w:pPr>
        <w:spacing w:before="2" w:line="310" w:lineRule="auto"/>
        <w:ind w:left="613" w:right="1474" w:firstLine="488"/>
        <w:rPr>
          <w:rFonts w:ascii="宋体" w:hAnsi="宋体" w:eastAsia="宋体" w:cs="宋体"/>
          <w:sz w:val="23"/>
          <w:szCs w:val="23"/>
        </w:rPr>
      </w:pPr>
      <w:r>
        <w:rPr>
          <w:rFonts w:ascii="宋体" w:hAnsi="宋体" w:eastAsia="宋体" w:cs="宋体"/>
          <w:spacing w:val="9"/>
          <w:sz w:val="23"/>
          <w:szCs w:val="23"/>
        </w:rPr>
        <w:t>（4）响应文件中提供虚假材料、隐瞒重要事实或存在重大遗漏</w:t>
      </w:r>
      <w:r>
        <w:rPr>
          <w:rFonts w:ascii="宋体" w:hAnsi="宋体" w:eastAsia="宋体" w:cs="宋体"/>
          <w:spacing w:val="8"/>
          <w:sz w:val="23"/>
          <w:szCs w:val="23"/>
        </w:rPr>
        <w:t>，影响采购公正性</w:t>
      </w:r>
      <w:r>
        <w:rPr>
          <w:rFonts w:ascii="宋体" w:hAnsi="宋体" w:eastAsia="宋体" w:cs="宋体"/>
          <w:spacing w:val="5"/>
          <w:sz w:val="23"/>
          <w:szCs w:val="23"/>
        </w:rPr>
        <w:t>或可能导致履约风险的。</w:t>
      </w:r>
    </w:p>
    <w:p w14:paraId="4111A012">
      <w:pPr>
        <w:spacing w:line="237" w:lineRule="exact"/>
        <w:ind w:left="605"/>
        <w:rPr>
          <w:rFonts w:ascii="微软雅黑" w:hAnsi="微软雅黑" w:eastAsia="微软雅黑" w:cs="微软雅黑"/>
          <w:sz w:val="23"/>
          <w:szCs w:val="23"/>
        </w:rPr>
      </w:pPr>
      <w:r>
        <w:rPr>
          <w:rFonts w:ascii="微软雅黑" w:hAnsi="微软雅黑" w:eastAsia="微软雅黑" w:cs="微软雅黑"/>
          <w:spacing w:val="10"/>
          <w:position w:val="-1"/>
          <w:sz w:val="23"/>
          <w:szCs w:val="23"/>
        </w:rPr>
        <w:t>六、评审标准</w:t>
      </w:r>
    </w:p>
    <w:p w14:paraId="07E1A2C2">
      <w:pPr>
        <w:spacing w:line="198" w:lineRule="exact"/>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1796"/>
        <w:gridCol w:w="4851"/>
        <w:gridCol w:w="1078"/>
        <w:gridCol w:w="636"/>
      </w:tblGrid>
      <w:tr w14:paraId="128397CC">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372" w:hRule="atLeast"/>
        </w:trPr>
        <w:tc>
          <w:tcPr>
            <w:tcW w:w="636" w:type="dxa"/>
            <w:vAlign w:val="top"/>
          </w:tcPr>
          <w:p w14:paraId="0A3D3CB1">
            <w:pPr>
              <w:spacing w:before="68" w:line="231" w:lineRule="exact"/>
              <w:ind w:left="81"/>
              <w:rPr>
                <w:rFonts w:ascii="微软雅黑" w:hAnsi="微软雅黑" w:eastAsia="微软雅黑" w:cs="微软雅黑"/>
                <w:sz w:val="23"/>
                <w:szCs w:val="23"/>
              </w:rPr>
            </w:pPr>
            <w:r>
              <w:rPr>
                <w:rFonts w:ascii="微软雅黑" w:hAnsi="微软雅黑" w:eastAsia="微软雅黑" w:cs="微软雅黑"/>
                <w:spacing w:val="7"/>
                <w:position w:val="-1"/>
                <w:sz w:val="23"/>
                <w:szCs w:val="23"/>
              </w:rPr>
              <w:t>序号</w:t>
            </w:r>
          </w:p>
        </w:tc>
        <w:tc>
          <w:tcPr>
            <w:tcW w:w="1796" w:type="dxa"/>
            <w:vAlign w:val="top"/>
          </w:tcPr>
          <w:p w14:paraId="7BA147F6">
            <w:pPr>
              <w:spacing w:before="65" w:line="235" w:lineRule="exact"/>
              <w:ind w:left="414"/>
              <w:rPr>
                <w:rFonts w:ascii="微软雅黑" w:hAnsi="微软雅黑" w:eastAsia="微软雅黑" w:cs="微软雅黑"/>
                <w:sz w:val="23"/>
                <w:szCs w:val="23"/>
              </w:rPr>
            </w:pPr>
            <w:r>
              <w:rPr>
                <w:rFonts w:ascii="微软雅黑" w:hAnsi="微软雅黑" w:eastAsia="微软雅黑" w:cs="微软雅黑"/>
                <w:spacing w:val="10"/>
                <w:position w:val="-1"/>
                <w:sz w:val="23"/>
                <w:szCs w:val="23"/>
              </w:rPr>
              <w:t>评分因素</w:t>
            </w:r>
          </w:p>
        </w:tc>
        <w:tc>
          <w:tcPr>
            <w:tcW w:w="4851" w:type="dxa"/>
            <w:vAlign w:val="top"/>
          </w:tcPr>
          <w:p w14:paraId="2F6B334F">
            <w:pPr>
              <w:spacing w:before="63" w:line="237" w:lineRule="exact"/>
              <w:ind w:left="1945"/>
              <w:rPr>
                <w:rFonts w:ascii="微软雅黑" w:hAnsi="微软雅黑" w:eastAsia="微软雅黑" w:cs="微软雅黑"/>
                <w:sz w:val="23"/>
                <w:szCs w:val="23"/>
              </w:rPr>
            </w:pPr>
            <w:r>
              <w:rPr>
                <w:rFonts w:ascii="微软雅黑" w:hAnsi="微软雅黑" w:eastAsia="微软雅黑" w:cs="微软雅黑"/>
                <w:spacing w:val="10"/>
                <w:position w:val="-1"/>
                <w:sz w:val="23"/>
                <w:szCs w:val="23"/>
              </w:rPr>
              <w:t>评分标准</w:t>
            </w:r>
          </w:p>
        </w:tc>
        <w:tc>
          <w:tcPr>
            <w:tcW w:w="1078" w:type="dxa"/>
            <w:vAlign w:val="top"/>
          </w:tcPr>
          <w:p w14:paraId="4A4B11BE">
            <w:pPr>
              <w:spacing w:before="65" w:line="235" w:lineRule="exact"/>
              <w:ind w:left="62"/>
              <w:rPr>
                <w:rFonts w:ascii="微软雅黑" w:hAnsi="微软雅黑" w:eastAsia="微软雅黑" w:cs="微软雅黑"/>
                <w:sz w:val="23"/>
                <w:szCs w:val="23"/>
              </w:rPr>
            </w:pPr>
            <w:r>
              <w:rPr>
                <w:rFonts w:ascii="微软雅黑" w:hAnsi="微软雅黑" w:eastAsia="微软雅黑" w:cs="微软雅黑"/>
                <w:spacing w:val="9"/>
                <w:position w:val="-1"/>
                <w:sz w:val="23"/>
                <w:szCs w:val="23"/>
              </w:rPr>
              <w:t>评分类型</w:t>
            </w:r>
          </w:p>
        </w:tc>
        <w:tc>
          <w:tcPr>
            <w:tcW w:w="636" w:type="dxa"/>
            <w:vAlign w:val="top"/>
          </w:tcPr>
          <w:p w14:paraId="1CC8653D">
            <w:pPr>
              <w:spacing w:before="65" w:line="236" w:lineRule="exact"/>
              <w:ind w:left="84"/>
              <w:rPr>
                <w:rFonts w:ascii="微软雅黑" w:hAnsi="微软雅黑" w:eastAsia="微软雅黑" w:cs="微软雅黑"/>
                <w:sz w:val="23"/>
                <w:szCs w:val="23"/>
              </w:rPr>
            </w:pPr>
            <w:r>
              <w:rPr>
                <w:rFonts w:ascii="微软雅黑" w:hAnsi="微软雅黑" w:eastAsia="微软雅黑" w:cs="微软雅黑"/>
                <w:spacing w:val="5"/>
                <w:position w:val="-1"/>
                <w:sz w:val="23"/>
                <w:szCs w:val="23"/>
              </w:rPr>
              <w:t>满分</w:t>
            </w:r>
          </w:p>
        </w:tc>
      </w:tr>
      <w:tr w14:paraId="2D887498">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PrEx>
        <w:trPr>
          <w:trHeight w:val="4201" w:hRule="atLeast"/>
        </w:trPr>
        <w:tc>
          <w:tcPr>
            <w:tcW w:w="636" w:type="dxa"/>
            <w:vAlign w:val="top"/>
          </w:tcPr>
          <w:p w14:paraId="7AC77F2D">
            <w:pPr>
              <w:spacing w:line="270" w:lineRule="auto"/>
              <w:rPr>
                <w:rFonts w:ascii="Arial"/>
                <w:sz w:val="21"/>
              </w:rPr>
            </w:pPr>
          </w:p>
          <w:p w14:paraId="1D88646B">
            <w:pPr>
              <w:spacing w:line="270" w:lineRule="auto"/>
              <w:rPr>
                <w:rFonts w:ascii="Arial"/>
                <w:sz w:val="21"/>
              </w:rPr>
            </w:pPr>
          </w:p>
          <w:p w14:paraId="333634DC">
            <w:pPr>
              <w:spacing w:line="270" w:lineRule="auto"/>
              <w:rPr>
                <w:rFonts w:ascii="Arial"/>
                <w:sz w:val="21"/>
              </w:rPr>
            </w:pPr>
          </w:p>
          <w:p w14:paraId="5C43F347">
            <w:pPr>
              <w:spacing w:line="270" w:lineRule="auto"/>
              <w:rPr>
                <w:rFonts w:ascii="Arial"/>
                <w:sz w:val="21"/>
              </w:rPr>
            </w:pPr>
          </w:p>
          <w:p w14:paraId="42CB2C0D">
            <w:pPr>
              <w:spacing w:line="271" w:lineRule="auto"/>
              <w:rPr>
                <w:rFonts w:ascii="Arial"/>
                <w:sz w:val="21"/>
              </w:rPr>
            </w:pPr>
          </w:p>
          <w:p w14:paraId="3E4AF9B8">
            <w:pPr>
              <w:spacing w:line="271" w:lineRule="auto"/>
              <w:rPr>
                <w:rFonts w:ascii="Arial"/>
                <w:sz w:val="21"/>
              </w:rPr>
            </w:pPr>
          </w:p>
          <w:p w14:paraId="113058A7">
            <w:pPr>
              <w:spacing w:line="271" w:lineRule="auto"/>
              <w:rPr>
                <w:rFonts w:ascii="Arial"/>
                <w:sz w:val="21"/>
              </w:rPr>
            </w:pPr>
          </w:p>
          <w:p w14:paraId="7407D1A4">
            <w:pPr>
              <w:pStyle w:val="7"/>
              <w:spacing w:before="75" w:line="310" w:lineRule="exact"/>
              <w:ind w:left="281"/>
            </w:pPr>
            <w:r>
              <w:rPr>
                <w:position w:val="1"/>
              </w:rPr>
              <w:t>1</w:t>
            </w:r>
          </w:p>
        </w:tc>
        <w:tc>
          <w:tcPr>
            <w:tcW w:w="1796" w:type="dxa"/>
            <w:vAlign w:val="top"/>
          </w:tcPr>
          <w:p w14:paraId="037DDF62">
            <w:pPr>
              <w:spacing w:line="270" w:lineRule="auto"/>
              <w:rPr>
                <w:rFonts w:ascii="Arial"/>
                <w:sz w:val="21"/>
              </w:rPr>
            </w:pPr>
          </w:p>
          <w:p w14:paraId="3D932637">
            <w:pPr>
              <w:spacing w:line="270" w:lineRule="auto"/>
              <w:rPr>
                <w:rFonts w:ascii="Arial"/>
                <w:sz w:val="21"/>
              </w:rPr>
            </w:pPr>
          </w:p>
          <w:p w14:paraId="30922E8D">
            <w:pPr>
              <w:spacing w:line="270" w:lineRule="auto"/>
              <w:rPr>
                <w:rFonts w:ascii="Arial"/>
                <w:sz w:val="21"/>
              </w:rPr>
            </w:pPr>
          </w:p>
          <w:p w14:paraId="43664D61">
            <w:pPr>
              <w:spacing w:line="270" w:lineRule="auto"/>
              <w:rPr>
                <w:rFonts w:ascii="Arial"/>
                <w:sz w:val="21"/>
              </w:rPr>
            </w:pPr>
          </w:p>
          <w:p w14:paraId="0C9CA1BF">
            <w:pPr>
              <w:spacing w:line="271" w:lineRule="auto"/>
              <w:rPr>
                <w:rFonts w:ascii="Arial"/>
                <w:sz w:val="21"/>
              </w:rPr>
            </w:pPr>
          </w:p>
          <w:p w14:paraId="1D3578FD">
            <w:pPr>
              <w:spacing w:line="271" w:lineRule="auto"/>
              <w:rPr>
                <w:rFonts w:ascii="Arial"/>
                <w:sz w:val="21"/>
              </w:rPr>
            </w:pPr>
          </w:p>
          <w:p w14:paraId="3222DAE9">
            <w:pPr>
              <w:spacing w:line="271" w:lineRule="auto"/>
              <w:rPr>
                <w:rFonts w:ascii="Arial"/>
                <w:sz w:val="21"/>
              </w:rPr>
            </w:pPr>
          </w:p>
          <w:p w14:paraId="4BE03196">
            <w:pPr>
              <w:pStyle w:val="7"/>
              <w:spacing w:before="74" w:line="226" w:lineRule="auto"/>
              <w:ind w:left="128"/>
            </w:pPr>
            <w:r>
              <w:rPr>
                <w:spacing w:val="6"/>
              </w:rPr>
              <w:t>报价</w:t>
            </w:r>
          </w:p>
        </w:tc>
        <w:tc>
          <w:tcPr>
            <w:tcW w:w="4851" w:type="dxa"/>
            <w:vAlign w:val="top"/>
          </w:tcPr>
          <w:p w14:paraId="3FC7216A">
            <w:pPr>
              <w:pStyle w:val="7"/>
              <w:spacing w:before="179" w:line="289" w:lineRule="auto"/>
              <w:ind w:left="131" w:right="161"/>
              <w:jc w:val="both"/>
            </w:pPr>
            <w:r>
              <w:rPr>
                <w:spacing w:val="9"/>
              </w:rPr>
              <w:t>采用低价优先法计算，即满足采购文件要求且评审价格最低的报价为评标基准价，其价格分为满分。其他供应商的价格分统一按照下列公式计算（小数点后保留二位</w:t>
            </w:r>
            <w:r>
              <w:rPr>
                <w:spacing w:val="11"/>
              </w:rPr>
              <w:t>）：</w:t>
            </w:r>
            <w:r>
              <w:rPr>
                <w:spacing w:val="9"/>
              </w:rPr>
              <w:t>价格</w:t>
            </w:r>
            <w:r>
              <w:rPr>
                <w:spacing w:val="6"/>
              </w:rPr>
              <w:t>分=（评标基准价/供应商报价）×30分。</w:t>
            </w:r>
          </w:p>
          <w:p w14:paraId="3019F010">
            <w:pPr>
              <w:pStyle w:val="7"/>
              <w:spacing w:before="3" w:line="288" w:lineRule="auto"/>
              <w:ind w:left="130" w:right="161"/>
              <w:jc w:val="both"/>
            </w:pPr>
            <w:r>
              <w:rPr>
                <w:spacing w:val="9"/>
              </w:rPr>
              <w:t>对于未预留份额专门面向中小企业采购的采购项目或预留份额项目中的非预留部分采购</w:t>
            </w:r>
            <w:r>
              <w:rPr>
                <w:spacing w:val="8"/>
              </w:rPr>
              <w:t>包，给予小微企业报价15%的扣除；本项目</w:t>
            </w:r>
            <w:r>
              <w:rPr>
                <w:spacing w:val="3"/>
              </w:rPr>
              <w:t>不接受联合体。</w:t>
            </w:r>
          </w:p>
          <w:p w14:paraId="09569226">
            <w:pPr>
              <w:pStyle w:val="7"/>
              <w:spacing w:line="290" w:lineRule="auto"/>
              <w:ind w:left="132" w:right="161"/>
              <w:jc w:val="both"/>
            </w:pPr>
            <w:r>
              <w:rPr>
                <w:spacing w:val="9"/>
              </w:rPr>
              <w:t>特别说明：若投标供应商为中小企业，请在</w:t>
            </w:r>
            <w:r>
              <w:rPr>
                <w:spacing w:val="5"/>
              </w:rPr>
              <w:t>此处提交中小企业声明函。</w:t>
            </w:r>
          </w:p>
        </w:tc>
        <w:tc>
          <w:tcPr>
            <w:tcW w:w="1078" w:type="dxa"/>
            <w:vAlign w:val="top"/>
          </w:tcPr>
          <w:p w14:paraId="73366450">
            <w:pPr>
              <w:spacing w:line="270" w:lineRule="auto"/>
              <w:rPr>
                <w:rFonts w:ascii="Arial"/>
                <w:sz w:val="21"/>
              </w:rPr>
            </w:pPr>
          </w:p>
          <w:p w14:paraId="12ACABEA">
            <w:pPr>
              <w:spacing w:line="270" w:lineRule="auto"/>
              <w:rPr>
                <w:rFonts w:ascii="Arial"/>
                <w:sz w:val="21"/>
              </w:rPr>
            </w:pPr>
          </w:p>
          <w:p w14:paraId="029B7B6D">
            <w:pPr>
              <w:spacing w:line="270" w:lineRule="auto"/>
              <w:rPr>
                <w:rFonts w:ascii="Arial"/>
                <w:sz w:val="21"/>
              </w:rPr>
            </w:pPr>
          </w:p>
          <w:p w14:paraId="32DB6E6B">
            <w:pPr>
              <w:spacing w:line="270" w:lineRule="auto"/>
              <w:rPr>
                <w:rFonts w:ascii="Arial"/>
                <w:sz w:val="21"/>
              </w:rPr>
            </w:pPr>
          </w:p>
          <w:p w14:paraId="5E31C691">
            <w:pPr>
              <w:spacing w:line="271" w:lineRule="auto"/>
              <w:rPr>
                <w:rFonts w:ascii="Arial"/>
                <w:sz w:val="21"/>
              </w:rPr>
            </w:pPr>
          </w:p>
          <w:p w14:paraId="11418226">
            <w:pPr>
              <w:spacing w:line="271" w:lineRule="auto"/>
              <w:rPr>
                <w:rFonts w:ascii="Arial"/>
                <w:sz w:val="21"/>
              </w:rPr>
            </w:pPr>
          </w:p>
          <w:p w14:paraId="65B38008">
            <w:pPr>
              <w:spacing w:line="271" w:lineRule="auto"/>
              <w:rPr>
                <w:rFonts w:ascii="Arial"/>
                <w:sz w:val="21"/>
              </w:rPr>
            </w:pPr>
          </w:p>
          <w:p w14:paraId="1C6FD6A9">
            <w:pPr>
              <w:pStyle w:val="7"/>
              <w:spacing w:before="75" w:line="228" w:lineRule="auto"/>
              <w:ind w:left="191"/>
            </w:pPr>
            <w:r>
              <w:rPr>
                <w:spacing w:val="6"/>
              </w:rPr>
              <w:t>客观分</w:t>
            </w:r>
          </w:p>
        </w:tc>
        <w:tc>
          <w:tcPr>
            <w:tcW w:w="636" w:type="dxa"/>
            <w:vAlign w:val="top"/>
          </w:tcPr>
          <w:p w14:paraId="45C994D4">
            <w:pPr>
              <w:spacing w:line="270" w:lineRule="auto"/>
              <w:rPr>
                <w:rFonts w:ascii="Arial"/>
                <w:sz w:val="21"/>
              </w:rPr>
            </w:pPr>
          </w:p>
          <w:p w14:paraId="57197BF5">
            <w:pPr>
              <w:spacing w:line="270" w:lineRule="auto"/>
              <w:rPr>
                <w:rFonts w:ascii="Arial"/>
                <w:sz w:val="21"/>
              </w:rPr>
            </w:pPr>
          </w:p>
          <w:p w14:paraId="1E980748">
            <w:pPr>
              <w:spacing w:line="270" w:lineRule="auto"/>
              <w:rPr>
                <w:rFonts w:ascii="Arial"/>
                <w:sz w:val="21"/>
              </w:rPr>
            </w:pPr>
          </w:p>
          <w:p w14:paraId="40FD23E9">
            <w:pPr>
              <w:spacing w:line="270" w:lineRule="auto"/>
              <w:rPr>
                <w:rFonts w:ascii="Arial"/>
                <w:sz w:val="21"/>
              </w:rPr>
            </w:pPr>
          </w:p>
          <w:p w14:paraId="38AC032B">
            <w:pPr>
              <w:spacing w:line="271" w:lineRule="auto"/>
              <w:rPr>
                <w:rFonts w:ascii="Arial"/>
                <w:sz w:val="21"/>
              </w:rPr>
            </w:pPr>
          </w:p>
          <w:p w14:paraId="13FC9C9A">
            <w:pPr>
              <w:spacing w:line="271" w:lineRule="auto"/>
              <w:rPr>
                <w:rFonts w:ascii="Arial"/>
                <w:sz w:val="21"/>
              </w:rPr>
            </w:pPr>
          </w:p>
          <w:p w14:paraId="1B9F5584">
            <w:pPr>
              <w:spacing w:line="271" w:lineRule="auto"/>
              <w:rPr>
                <w:rFonts w:ascii="Arial"/>
                <w:sz w:val="21"/>
              </w:rPr>
            </w:pPr>
          </w:p>
          <w:p w14:paraId="3BFE49F7">
            <w:pPr>
              <w:pStyle w:val="7"/>
              <w:spacing w:before="75" w:line="308" w:lineRule="exact"/>
              <w:ind w:left="210"/>
            </w:pPr>
            <w:r>
              <w:rPr>
                <w:spacing w:val="-2"/>
                <w:position w:val="1"/>
              </w:rPr>
              <w:t>30</w:t>
            </w:r>
          </w:p>
        </w:tc>
      </w:tr>
      <w:tr w14:paraId="526B8710">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5558" w:hRule="atLeast"/>
        </w:trPr>
        <w:tc>
          <w:tcPr>
            <w:tcW w:w="636" w:type="dxa"/>
            <w:tcBorders>
              <w:bottom w:val="nil"/>
            </w:tcBorders>
            <w:vAlign w:val="top"/>
          </w:tcPr>
          <w:p w14:paraId="3859A509">
            <w:pPr>
              <w:pStyle w:val="7"/>
              <w:spacing w:before="181" w:line="310" w:lineRule="exact"/>
              <w:ind w:left="266"/>
            </w:pPr>
            <w:r>
              <w:rPr>
                <w:position w:val="1"/>
              </w:rPr>
              <w:t>2</w:t>
            </w:r>
          </w:p>
        </w:tc>
        <w:tc>
          <w:tcPr>
            <w:tcW w:w="1796" w:type="dxa"/>
            <w:tcBorders>
              <w:bottom w:val="nil"/>
            </w:tcBorders>
            <w:vAlign w:val="top"/>
          </w:tcPr>
          <w:p w14:paraId="36849D8F">
            <w:pPr>
              <w:pStyle w:val="7"/>
              <w:spacing w:before="180" w:line="291" w:lineRule="auto"/>
              <w:ind w:left="134" w:right="226" w:hanging="1"/>
            </w:pPr>
            <w:r>
              <w:rPr>
                <w:spacing w:val="7"/>
              </w:rPr>
              <w:t>活动策划整体</w:t>
            </w:r>
            <w:r>
              <w:rPr>
                <w:spacing w:val="6"/>
              </w:rPr>
              <w:t>实施方案</w:t>
            </w:r>
          </w:p>
        </w:tc>
        <w:tc>
          <w:tcPr>
            <w:tcW w:w="4851" w:type="dxa"/>
            <w:tcBorders>
              <w:bottom w:val="nil"/>
            </w:tcBorders>
            <w:vAlign w:val="top"/>
          </w:tcPr>
          <w:p w14:paraId="4A39120D">
            <w:pPr>
              <w:pStyle w:val="7"/>
              <w:spacing w:before="180" w:line="289" w:lineRule="auto"/>
              <w:ind w:left="131" w:right="161"/>
              <w:jc w:val="both"/>
            </w:pPr>
            <w:r>
              <w:rPr>
                <w:spacing w:val="9"/>
              </w:rPr>
              <w:t>评委依据供应商提供的活动策划整体实施方</w:t>
            </w:r>
            <w:r>
              <w:rPr>
                <w:spacing w:val="8"/>
              </w:rPr>
              <w:t>案开展综合评分，满分12分，具体评分等级</w:t>
            </w:r>
            <w:r>
              <w:rPr>
                <w:spacing w:val="-4"/>
              </w:rPr>
              <w:t>划分如下：</w:t>
            </w:r>
          </w:p>
          <w:p w14:paraId="27F4B33F">
            <w:pPr>
              <w:pStyle w:val="7"/>
              <w:spacing w:line="227" w:lineRule="auto"/>
              <w:ind w:left="150"/>
            </w:pPr>
            <w:r>
              <w:rPr>
                <w:spacing w:val="6"/>
              </w:rPr>
              <w:t>1、活动策划整体实施方案体系完整详实、</w:t>
            </w:r>
          </w:p>
          <w:p w14:paraId="57E74B24">
            <w:pPr>
              <w:pStyle w:val="7"/>
              <w:spacing w:before="74" w:line="289" w:lineRule="auto"/>
              <w:ind w:left="133" w:right="161"/>
            </w:pPr>
            <w:r>
              <w:rPr>
                <w:spacing w:val="9"/>
              </w:rPr>
              <w:t>整体活动流程科学规范、各阶段进度规划合理、现场执行及应急保障机制完善，包含活动主题策划、流程排布、人员分工、物料筹备、场地布置、安全保障、舆情应对、后期收尾等全部核心内容，完全满足本次项目活</w:t>
            </w:r>
            <w:r>
              <w:rPr>
                <w:spacing w:val="4"/>
              </w:rPr>
              <w:t>动开展全部需求的，得12分；</w:t>
            </w:r>
          </w:p>
          <w:p w14:paraId="6DACF438">
            <w:pPr>
              <w:pStyle w:val="7"/>
              <w:spacing w:line="227" w:lineRule="auto"/>
              <w:ind w:left="135"/>
            </w:pPr>
            <w:r>
              <w:rPr>
                <w:spacing w:val="6"/>
              </w:rPr>
              <w:t>2、活动策划整体实施方案体系较为完整、</w:t>
            </w:r>
          </w:p>
          <w:p w14:paraId="4EADE32A">
            <w:pPr>
              <w:pStyle w:val="7"/>
              <w:spacing w:before="75" w:line="283" w:lineRule="auto"/>
              <w:ind w:left="133" w:right="161"/>
            </w:pPr>
            <w:r>
              <w:rPr>
                <w:spacing w:val="9"/>
              </w:rPr>
              <w:t>整体活动流程规范、各阶段进度规划较为合理、现场执行及应急保障机制较为完善，核心策划内容齐全、细节把控到位，较好匹配</w:t>
            </w:r>
            <w:r>
              <w:rPr>
                <w:spacing w:val="5"/>
              </w:rPr>
              <w:t>本次项目活动开展需求的，得9分；</w:t>
            </w:r>
          </w:p>
        </w:tc>
        <w:tc>
          <w:tcPr>
            <w:tcW w:w="1078" w:type="dxa"/>
            <w:tcBorders>
              <w:bottom w:val="nil"/>
            </w:tcBorders>
            <w:vAlign w:val="top"/>
          </w:tcPr>
          <w:p w14:paraId="0D778DF0">
            <w:pPr>
              <w:pStyle w:val="7"/>
              <w:spacing w:before="181" w:line="228" w:lineRule="auto"/>
              <w:ind w:left="191"/>
            </w:pPr>
            <w:r>
              <w:rPr>
                <w:spacing w:val="6"/>
              </w:rPr>
              <w:t>主观分</w:t>
            </w:r>
          </w:p>
        </w:tc>
        <w:tc>
          <w:tcPr>
            <w:tcW w:w="636" w:type="dxa"/>
            <w:tcBorders>
              <w:bottom w:val="nil"/>
            </w:tcBorders>
            <w:vAlign w:val="top"/>
          </w:tcPr>
          <w:p w14:paraId="206816C6">
            <w:pPr>
              <w:pStyle w:val="7"/>
              <w:spacing w:before="181" w:line="310" w:lineRule="exact"/>
              <w:ind w:left="223"/>
            </w:pPr>
            <w:r>
              <w:rPr>
                <w:spacing w:val="-5"/>
                <w:position w:val="1"/>
              </w:rPr>
              <w:t>12</w:t>
            </w:r>
          </w:p>
        </w:tc>
      </w:tr>
    </w:tbl>
    <w:p w14:paraId="41DF3631">
      <w:pPr>
        <w:pStyle w:val="3"/>
      </w:pPr>
    </w:p>
    <w:p w14:paraId="7ACAF5DE">
      <w:pPr>
        <w:sectPr>
          <w:footerReference r:id="rId13" w:type="default"/>
          <w:pgSz w:w="11900" w:h="16839"/>
          <w:pgMar w:top="518" w:right="0" w:bottom="429" w:left="839" w:header="241" w:footer="145" w:gutter="0"/>
          <w:cols w:space="720" w:num="1"/>
        </w:sectPr>
      </w:pPr>
    </w:p>
    <w:p w14:paraId="607402C1">
      <w:pPr>
        <w:spacing w:before="79"/>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1796"/>
        <w:gridCol w:w="4851"/>
        <w:gridCol w:w="1078"/>
        <w:gridCol w:w="636"/>
      </w:tblGrid>
      <w:tr w14:paraId="77D3964C">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4444" w:hRule="atLeast"/>
        </w:trPr>
        <w:tc>
          <w:tcPr>
            <w:tcW w:w="636" w:type="dxa"/>
            <w:tcBorders>
              <w:top w:val="nil"/>
            </w:tcBorders>
            <w:vAlign w:val="top"/>
          </w:tcPr>
          <w:p w14:paraId="70755880">
            <w:pPr>
              <w:rPr>
                <w:rFonts w:ascii="Arial"/>
                <w:sz w:val="21"/>
              </w:rPr>
            </w:pPr>
          </w:p>
        </w:tc>
        <w:tc>
          <w:tcPr>
            <w:tcW w:w="1796" w:type="dxa"/>
            <w:tcBorders>
              <w:top w:val="nil"/>
            </w:tcBorders>
            <w:vAlign w:val="top"/>
          </w:tcPr>
          <w:p w14:paraId="542D032B">
            <w:pPr>
              <w:rPr>
                <w:rFonts w:ascii="Arial"/>
                <w:sz w:val="21"/>
              </w:rPr>
            </w:pPr>
          </w:p>
        </w:tc>
        <w:tc>
          <w:tcPr>
            <w:tcW w:w="4851" w:type="dxa"/>
            <w:tcBorders>
              <w:top w:val="nil"/>
            </w:tcBorders>
            <w:vAlign w:val="top"/>
          </w:tcPr>
          <w:p w14:paraId="0603D8BF">
            <w:pPr>
              <w:pStyle w:val="7"/>
              <w:spacing w:before="64" w:line="226" w:lineRule="auto"/>
              <w:ind w:left="137"/>
            </w:pPr>
            <w:r>
              <w:rPr>
                <w:spacing w:val="6"/>
              </w:rPr>
              <w:t>3、活动策划整体实施方案体系基本完整、</w:t>
            </w:r>
          </w:p>
          <w:p w14:paraId="3F0BB8F7">
            <w:pPr>
              <w:pStyle w:val="7"/>
              <w:spacing w:before="76" w:line="289" w:lineRule="auto"/>
              <w:ind w:left="131" w:right="161" w:firstLine="1"/>
            </w:pPr>
            <w:r>
              <w:rPr>
                <w:spacing w:val="9"/>
              </w:rPr>
              <w:t>整体活动流程基本可行、各阶段进度规划基本合理、具备基础的现场执行及应急保障措施，核心模块无缺失，基本满足本次项目活</w:t>
            </w:r>
            <w:r>
              <w:rPr>
                <w:spacing w:val="3"/>
              </w:rPr>
              <w:t>动开展需求的，得6分；</w:t>
            </w:r>
          </w:p>
          <w:p w14:paraId="1E6BD2F6">
            <w:pPr>
              <w:pStyle w:val="7"/>
              <w:spacing w:line="226" w:lineRule="auto"/>
              <w:ind w:left="131"/>
            </w:pPr>
            <w:r>
              <w:rPr>
                <w:spacing w:val="7"/>
              </w:rPr>
              <w:t>4、活动策划整体实施方案内容简单片面、</w:t>
            </w:r>
          </w:p>
          <w:p w14:paraId="4AC892E7">
            <w:pPr>
              <w:pStyle w:val="7"/>
              <w:spacing w:before="76" w:line="289" w:lineRule="auto"/>
              <w:ind w:left="132" w:right="161"/>
            </w:pPr>
            <w:r>
              <w:rPr>
                <w:spacing w:val="9"/>
              </w:rPr>
              <w:t>整体活动流程存在明显欠缺、各阶段进度安排不合理、现场执行及应急保障措施不完</w:t>
            </w:r>
          </w:p>
          <w:p w14:paraId="68ED860A">
            <w:pPr>
              <w:pStyle w:val="7"/>
              <w:spacing w:before="1" w:line="288" w:lineRule="auto"/>
              <w:ind w:left="159" w:right="161" w:hanging="25"/>
            </w:pPr>
            <w:r>
              <w:rPr>
                <w:spacing w:val="9"/>
              </w:rPr>
              <w:t>善，核心策划内容存在缺失、漏洞较多，难</w:t>
            </w:r>
            <w:r>
              <w:rPr>
                <w:spacing w:val="4"/>
              </w:rPr>
              <w:t>以适配本次项目活动开展需求的，得3分；</w:t>
            </w:r>
          </w:p>
          <w:p w14:paraId="021EADD1">
            <w:pPr>
              <w:pStyle w:val="7"/>
              <w:spacing w:before="2" w:line="290" w:lineRule="auto"/>
              <w:ind w:left="134" w:right="281" w:firstLine="2"/>
            </w:pPr>
            <w:r>
              <w:rPr>
                <w:spacing w:val="8"/>
              </w:rPr>
              <w:t>5、其他情况或未提供活动策划整体实施方</w:t>
            </w:r>
            <w:r>
              <w:rPr>
                <w:spacing w:val="3"/>
              </w:rPr>
              <w:t>案的，不予计分。</w:t>
            </w:r>
          </w:p>
        </w:tc>
        <w:tc>
          <w:tcPr>
            <w:tcW w:w="1078" w:type="dxa"/>
            <w:tcBorders>
              <w:top w:val="nil"/>
            </w:tcBorders>
            <w:vAlign w:val="top"/>
          </w:tcPr>
          <w:p w14:paraId="789A4561">
            <w:pPr>
              <w:rPr>
                <w:rFonts w:ascii="Arial"/>
                <w:sz w:val="21"/>
              </w:rPr>
            </w:pPr>
          </w:p>
        </w:tc>
        <w:tc>
          <w:tcPr>
            <w:tcW w:w="636" w:type="dxa"/>
            <w:tcBorders>
              <w:top w:val="nil"/>
            </w:tcBorders>
            <w:vAlign w:val="top"/>
          </w:tcPr>
          <w:p w14:paraId="68089157">
            <w:pPr>
              <w:rPr>
                <w:rFonts w:ascii="Arial"/>
                <w:sz w:val="21"/>
              </w:rPr>
            </w:pPr>
          </w:p>
        </w:tc>
      </w:tr>
      <w:tr w14:paraId="20958767">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8877" w:hRule="atLeast"/>
        </w:trPr>
        <w:tc>
          <w:tcPr>
            <w:tcW w:w="636" w:type="dxa"/>
            <w:vAlign w:val="top"/>
          </w:tcPr>
          <w:p w14:paraId="0B4D9648">
            <w:pPr>
              <w:spacing w:line="248" w:lineRule="auto"/>
              <w:rPr>
                <w:rFonts w:ascii="Arial"/>
                <w:sz w:val="21"/>
              </w:rPr>
            </w:pPr>
          </w:p>
          <w:p w14:paraId="69F376C3">
            <w:pPr>
              <w:spacing w:line="248" w:lineRule="auto"/>
              <w:rPr>
                <w:rFonts w:ascii="Arial"/>
                <w:sz w:val="21"/>
              </w:rPr>
            </w:pPr>
          </w:p>
          <w:p w14:paraId="19A59598">
            <w:pPr>
              <w:spacing w:line="248" w:lineRule="auto"/>
              <w:rPr>
                <w:rFonts w:ascii="Arial"/>
                <w:sz w:val="21"/>
              </w:rPr>
            </w:pPr>
          </w:p>
          <w:p w14:paraId="422AB9DB">
            <w:pPr>
              <w:spacing w:line="248" w:lineRule="auto"/>
              <w:rPr>
                <w:rFonts w:ascii="Arial"/>
                <w:sz w:val="21"/>
              </w:rPr>
            </w:pPr>
          </w:p>
          <w:p w14:paraId="5CD61EF9">
            <w:pPr>
              <w:spacing w:line="248" w:lineRule="auto"/>
              <w:rPr>
                <w:rFonts w:ascii="Arial"/>
                <w:sz w:val="21"/>
              </w:rPr>
            </w:pPr>
          </w:p>
          <w:p w14:paraId="3ADF83FF">
            <w:pPr>
              <w:spacing w:line="248" w:lineRule="auto"/>
              <w:rPr>
                <w:rFonts w:ascii="Arial"/>
                <w:sz w:val="21"/>
              </w:rPr>
            </w:pPr>
          </w:p>
          <w:p w14:paraId="4D9C109A">
            <w:pPr>
              <w:spacing w:line="248" w:lineRule="auto"/>
              <w:rPr>
                <w:rFonts w:ascii="Arial"/>
                <w:sz w:val="21"/>
              </w:rPr>
            </w:pPr>
          </w:p>
          <w:p w14:paraId="39D743AA">
            <w:pPr>
              <w:spacing w:line="248" w:lineRule="auto"/>
              <w:rPr>
                <w:rFonts w:ascii="Arial"/>
                <w:sz w:val="21"/>
              </w:rPr>
            </w:pPr>
          </w:p>
          <w:p w14:paraId="76636018">
            <w:pPr>
              <w:spacing w:line="248" w:lineRule="auto"/>
              <w:rPr>
                <w:rFonts w:ascii="Arial"/>
                <w:sz w:val="21"/>
              </w:rPr>
            </w:pPr>
          </w:p>
          <w:p w14:paraId="6B6C29EE">
            <w:pPr>
              <w:spacing w:line="248" w:lineRule="auto"/>
              <w:rPr>
                <w:rFonts w:ascii="Arial"/>
                <w:sz w:val="21"/>
              </w:rPr>
            </w:pPr>
          </w:p>
          <w:p w14:paraId="254B4FA2">
            <w:pPr>
              <w:spacing w:line="248" w:lineRule="auto"/>
              <w:rPr>
                <w:rFonts w:ascii="Arial"/>
                <w:sz w:val="21"/>
              </w:rPr>
            </w:pPr>
          </w:p>
          <w:p w14:paraId="43F888AA">
            <w:pPr>
              <w:spacing w:line="248" w:lineRule="auto"/>
              <w:rPr>
                <w:rFonts w:ascii="Arial"/>
                <w:sz w:val="21"/>
              </w:rPr>
            </w:pPr>
          </w:p>
          <w:p w14:paraId="6A738501">
            <w:pPr>
              <w:spacing w:line="248" w:lineRule="auto"/>
              <w:rPr>
                <w:rFonts w:ascii="Arial"/>
                <w:sz w:val="21"/>
              </w:rPr>
            </w:pPr>
          </w:p>
          <w:p w14:paraId="4D568B5D">
            <w:pPr>
              <w:spacing w:line="248" w:lineRule="auto"/>
              <w:rPr>
                <w:rFonts w:ascii="Arial"/>
                <w:sz w:val="21"/>
              </w:rPr>
            </w:pPr>
          </w:p>
          <w:p w14:paraId="4C597D60">
            <w:pPr>
              <w:spacing w:line="248" w:lineRule="auto"/>
              <w:rPr>
                <w:rFonts w:ascii="Arial"/>
                <w:sz w:val="21"/>
              </w:rPr>
            </w:pPr>
          </w:p>
          <w:p w14:paraId="3148ACF6">
            <w:pPr>
              <w:spacing w:line="248" w:lineRule="auto"/>
              <w:rPr>
                <w:rFonts w:ascii="Arial"/>
                <w:sz w:val="21"/>
              </w:rPr>
            </w:pPr>
          </w:p>
          <w:p w14:paraId="0DE6BE44">
            <w:pPr>
              <w:spacing w:line="248" w:lineRule="auto"/>
              <w:rPr>
                <w:rFonts w:ascii="Arial"/>
                <w:sz w:val="21"/>
              </w:rPr>
            </w:pPr>
          </w:p>
          <w:p w14:paraId="037C55F1">
            <w:pPr>
              <w:pStyle w:val="7"/>
              <w:spacing w:before="75" w:line="308" w:lineRule="exact"/>
              <w:ind w:left="268"/>
            </w:pPr>
            <w:r>
              <w:rPr>
                <w:position w:val="1"/>
              </w:rPr>
              <w:t>3</w:t>
            </w:r>
          </w:p>
        </w:tc>
        <w:tc>
          <w:tcPr>
            <w:tcW w:w="1796" w:type="dxa"/>
            <w:vAlign w:val="top"/>
          </w:tcPr>
          <w:p w14:paraId="0F1E08A8">
            <w:pPr>
              <w:spacing w:line="248" w:lineRule="auto"/>
              <w:rPr>
                <w:rFonts w:ascii="Arial"/>
                <w:sz w:val="21"/>
              </w:rPr>
            </w:pPr>
          </w:p>
          <w:p w14:paraId="0E996E1D">
            <w:pPr>
              <w:spacing w:line="248" w:lineRule="auto"/>
              <w:rPr>
                <w:rFonts w:ascii="Arial"/>
                <w:sz w:val="21"/>
              </w:rPr>
            </w:pPr>
          </w:p>
          <w:p w14:paraId="73440B4D">
            <w:pPr>
              <w:spacing w:line="248" w:lineRule="auto"/>
              <w:rPr>
                <w:rFonts w:ascii="Arial"/>
                <w:sz w:val="21"/>
              </w:rPr>
            </w:pPr>
          </w:p>
          <w:p w14:paraId="6486161E">
            <w:pPr>
              <w:spacing w:line="248" w:lineRule="auto"/>
              <w:rPr>
                <w:rFonts w:ascii="Arial"/>
                <w:sz w:val="21"/>
              </w:rPr>
            </w:pPr>
          </w:p>
          <w:p w14:paraId="1DD85A6C">
            <w:pPr>
              <w:spacing w:line="248" w:lineRule="auto"/>
              <w:rPr>
                <w:rFonts w:ascii="Arial"/>
                <w:sz w:val="21"/>
              </w:rPr>
            </w:pPr>
          </w:p>
          <w:p w14:paraId="17DF4CBB">
            <w:pPr>
              <w:spacing w:line="248" w:lineRule="auto"/>
              <w:rPr>
                <w:rFonts w:ascii="Arial"/>
                <w:sz w:val="21"/>
              </w:rPr>
            </w:pPr>
          </w:p>
          <w:p w14:paraId="1A1D9616">
            <w:pPr>
              <w:spacing w:line="248" w:lineRule="auto"/>
              <w:rPr>
                <w:rFonts w:ascii="Arial"/>
                <w:sz w:val="21"/>
              </w:rPr>
            </w:pPr>
          </w:p>
          <w:p w14:paraId="27EF61FA">
            <w:pPr>
              <w:spacing w:line="248" w:lineRule="auto"/>
              <w:rPr>
                <w:rFonts w:ascii="Arial"/>
                <w:sz w:val="21"/>
              </w:rPr>
            </w:pPr>
          </w:p>
          <w:p w14:paraId="7B607D8A">
            <w:pPr>
              <w:spacing w:line="248" w:lineRule="auto"/>
              <w:rPr>
                <w:rFonts w:ascii="Arial"/>
                <w:sz w:val="21"/>
              </w:rPr>
            </w:pPr>
          </w:p>
          <w:p w14:paraId="4B8B24EC">
            <w:pPr>
              <w:spacing w:line="248" w:lineRule="auto"/>
              <w:rPr>
                <w:rFonts w:ascii="Arial"/>
                <w:sz w:val="21"/>
              </w:rPr>
            </w:pPr>
          </w:p>
          <w:p w14:paraId="678A38D4">
            <w:pPr>
              <w:spacing w:line="248" w:lineRule="auto"/>
              <w:rPr>
                <w:rFonts w:ascii="Arial"/>
                <w:sz w:val="21"/>
              </w:rPr>
            </w:pPr>
          </w:p>
          <w:p w14:paraId="2E1BF8AF">
            <w:pPr>
              <w:spacing w:line="248" w:lineRule="auto"/>
              <w:rPr>
                <w:rFonts w:ascii="Arial"/>
                <w:sz w:val="21"/>
              </w:rPr>
            </w:pPr>
          </w:p>
          <w:p w14:paraId="7B85647D">
            <w:pPr>
              <w:spacing w:line="248" w:lineRule="auto"/>
              <w:rPr>
                <w:rFonts w:ascii="Arial"/>
                <w:sz w:val="21"/>
              </w:rPr>
            </w:pPr>
          </w:p>
          <w:p w14:paraId="7308CCED">
            <w:pPr>
              <w:spacing w:line="248" w:lineRule="auto"/>
              <w:rPr>
                <w:rFonts w:ascii="Arial"/>
                <w:sz w:val="21"/>
              </w:rPr>
            </w:pPr>
          </w:p>
          <w:p w14:paraId="6297176D">
            <w:pPr>
              <w:spacing w:line="248" w:lineRule="auto"/>
              <w:rPr>
                <w:rFonts w:ascii="Arial"/>
                <w:sz w:val="21"/>
              </w:rPr>
            </w:pPr>
          </w:p>
          <w:p w14:paraId="2B0AF10D">
            <w:pPr>
              <w:spacing w:line="248" w:lineRule="auto"/>
              <w:rPr>
                <w:rFonts w:ascii="Arial"/>
                <w:sz w:val="21"/>
              </w:rPr>
            </w:pPr>
          </w:p>
          <w:p w14:paraId="6C366537">
            <w:pPr>
              <w:spacing w:line="249" w:lineRule="auto"/>
              <w:rPr>
                <w:rFonts w:ascii="Arial"/>
                <w:sz w:val="21"/>
              </w:rPr>
            </w:pPr>
          </w:p>
          <w:p w14:paraId="18E16EBF">
            <w:pPr>
              <w:pStyle w:val="7"/>
              <w:spacing w:before="75" w:line="226" w:lineRule="auto"/>
              <w:ind w:left="133"/>
            </w:pPr>
            <w:r>
              <w:rPr>
                <w:spacing w:val="7"/>
              </w:rPr>
              <w:t>活动宣传方案</w:t>
            </w:r>
          </w:p>
        </w:tc>
        <w:tc>
          <w:tcPr>
            <w:tcW w:w="4851" w:type="dxa"/>
            <w:vAlign w:val="top"/>
          </w:tcPr>
          <w:p w14:paraId="757903A5">
            <w:pPr>
              <w:pStyle w:val="7"/>
              <w:spacing w:before="180" w:line="289" w:lineRule="auto"/>
              <w:ind w:left="132" w:right="161" w:hanging="1"/>
            </w:pPr>
            <w:r>
              <w:rPr>
                <w:spacing w:val="9"/>
              </w:rPr>
              <w:t>评委依据供应商提供的活动宣传方案开展综</w:t>
            </w:r>
            <w:r>
              <w:rPr>
                <w:spacing w:val="-6"/>
              </w:rPr>
              <w:t>合评分：</w:t>
            </w:r>
          </w:p>
          <w:p w14:paraId="55285BB1">
            <w:pPr>
              <w:pStyle w:val="7"/>
              <w:spacing w:before="4" w:line="288" w:lineRule="auto"/>
              <w:ind w:left="131" w:right="161" w:firstLine="18"/>
            </w:pPr>
            <w:r>
              <w:rPr>
                <w:spacing w:val="8"/>
              </w:rPr>
              <w:t>1、活动宣传方案体系完整详实、宣传实施</w:t>
            </w:r>
            <w:r>
              <w:rPr>
                <w:spacing w:val="9"/>
              </w:rPr>
              <w:t>流程科学规范、宣传周期规划合理、宣传渠</w:t>
            </w:r>
            <w:r>
              <w:rPr>
                <w:spacing w:val="7"/>
              </w:rPr>
              <w:t>道布局全面、宣传内容策划贴合活动定位、</w:t>
            </w:r>
            <w:r>
              <w:rPr>
                <w:spacing w:val="9"/>
              </w:rPr>
              <w:t>预热及应急宣传机制完善，完全满足项目活</w:t>
            </w:r>
            <w:r>
              <w:rPr>
                <w:spacing w:val="3"/>
              </w:rPr>
              <w:t>动宣传需求的，得</w:t>
            </w:r>
            <w:r>
              <w:rPr>
                <w:spacing w:val="34"/>
              </w:rPr>
              <w:t xml:space="preserve"> </w:t>
            </w:r>
            <w:r>
              <w:rPr>
                <w:spacing w:val="3"/>
              </w:rPr>
              <w:t>12 分；</w:t>
            </w:r>
          </w:p>
          <w:p w14:paraId="50CA0C65">
            <w:pPr>
              <w:pStyle w:val="7"/>
              <w:spacing w:before="4" w:line="288" w:lineRule="auto"/>
              <w:ind w:left="131" w:right="161" w:firstLine="3"/>
            </w:pPr>
            <w:r>
              <w:rPr>
                <w:spacing w:val="8"/>
              </w:rPr>
              <w:t>2、活动宣传方案体系较为完整、宣传实施</w:t>
            </w:r>
            <w:r>
              <w:rPr>
                <w:spacing w:val="9"/>
              </w:rPr>
              <w:t>流程规范、宣传周期规划较为合理、宣传渠</w:t>
            </w:r>
            <w:r>
              <w:rPr>
                <w:spacing w:val="7"/>
              </w:rPr>
              <w:t>道布局齐全、宣传内容策划贴合活动需求、</w:t>
            </w:r>
            <w:r>
              <w:rPr>
                <w:spacing w:val="9"/>
              </w:rPr>
              <w:t>具备完善的预热及应急宣传机制，较好匹配</w:t>
            </w:r>
            <w:r>
              <w:rPr>
                <w:spacing w:val="6"/>
              </w:rPr>
              <w:t>项目活动宣传需求的，得 9 分；</w:t>
            </w:r>
          </w:p>
          <w:p w14:paraId="0A2A228B">
            <w:pPr>
              <w:pStyle w:val="7"/>
              <w:spacing w:before="4" w:line="288" w:lineRule="auto"/>
              <w:ind w:left="131" w:right="161" w:firstLine="5"/>
            </w:pPr>
            <w:r>
              <w:rPr>
                <w:spacing w:val="8"/>
              </w:rPr>
              <w:t>3、活动宣传方案体系基本完整、宣传实施</w:t>
            </w:r>
            <w:r>
              <w:rPr>
                <w:spacing w:val="9"/>
              </w:rPr>
              <w:t>流程基本可行、宣传周期规划基本合理、具备基础宣传渠道与宣传内容、拥有基础预热及应急宣传措施，基本满足项目活动宣传需</w:t>
            </w:r>
            <w:r>
              <w:rPr>
                <w:spacing w:val="-1"/>
              </w:rPr>
              <w:t>求的，得</w:t>
            </w:r>
            <w:r>
              <w:rPr>
                <w:spacing w:val="19"/>
              </w:rPr>
              <w:t xml:space="preserve"> </w:t>
            </w:r>
            <w:r>
              <w:rPr>
                <w:spacing w:val="-1"/>
              </w:rPr>
              <w:t>6</w:t>
            </w:r>
            <w:r>
              <w:rPr>
                <w:spacing w:val="17"/>
              </w:rPr>
              <w:t xml:space="preserve"> </w:t>
            </w:r>
            <w:r>
              <w:rPr>
                <w:spacing w:val="-1"/>
              </w:rPr>
              <w:t>分；</w:t>
            </w:r>
          </w:p>
          <w:p w14:paraId="6068F441">
            <w:pPr>
              <w:pStyle w:val="7"/>
              <w:spacing w:before="4" w:line="288" w:lineRule="auto"/>
              <w:ind w:left="131" w:right="161"/>
            </w:pPr>
            <w:r>
              <w:rPr>
                <w:spacing w:val="9"/>
              </w:rPr>
              <w:t>4、活动宣传方案内容简单片面、宣传实施</w:t>
            </w:r>
            <w:r>
              <w:rPr>
                <w:spacing w:val="7"/>
              </w:rPr>
              <w:t>流程存在明显欠缺、宣传周期安排不合理、</w:t>
            </w:r>
            <w:r>
              <w:rPr>
                <w:spacing w:val="8"/>
              </w:rPr>
              <w:t>宣传渠道单一、宣传内容适配性不足、预热</w:t>
            </w:r>
            <w:r>
              <w:rPr>
                <w:spacing w:val="9"/>
              </w:rPr>
              <w:t>及应急宣传保障措施不完善，难以适配项目</w:t>
            </w:r>
            <w:r>
              <w:rPr>
                <w:spacing w:val="4"/>
              </w:rPr>
              <w:t>活动宣传需求的，得 3</w:t>
            </w:r>
            <w:r>
              <w:rPr>
                <w:spacing w:val="26"/>
              </w:rPr>
              <w:t xml:space="preserve"> </w:t>
            </w:r>
            <w:r>
              <w:rPr>
                <w:spacing w:val="4"/>
              </w:rPr>
              <w:t>分；</w:t>
            </w:r>
          </w:p>
          <w:p w14:paraId="47F0FEB5">
            <w:pPr>
              <w:pStyle w:val="7"/>
              <w:spacing w:before="1" w:line="290" w:lineRule="auto"/>
              <w:ind w:left="135" w:right="281" w:firstLine="1"/>
            </w:pPr>
            <w:r>
              <w:rPr>
                <w:spacing w:val="8"/>
              </w:rPr>
              <w:t>5、其他情况或未提供相关方案的，不予计</w:t>
            </w:r>
            <w:r>
              <w:rPr>
                <w:spacing w:val="-9"/>
              </w:rPr>
              <w:t>分。</w:t>
            </w:r>
          </w:p>
        </w:tc>
        <w:tc>
          <w:tcPr>
            <w:tcW w:w="1078" w:type="dxa"/>
            <w:vAlign w:val="top"/>
          </w:tcPr>
          <w:p w14:paraId="21558E37">
            <w:pPr>
              <w:spacing w:line="248" w:lineRule="auto"/>
              <w:rPr>
                <w:rFonts w:ascii="Arial"/>
                <w:sz w:val="21"/>
              </w:rPr>
            </w:pPr>
          </w:p>
          <w:p w14:paraId="47C74456">
            <w:pPr>
              <w:spacing w:line="248" w:lineRule="auto"/>
              <w:rPr>
                <w:rFonts w:ascii="Arial"/>
                <w:sz w:val="21"/>
              </w:rPr>
            </w:pPr>
          </w:p>
          <w:p w14:paraId="26AC38E2">
            <w:pPr>
              <w:spacing w:line="248" w:lineRule="auto"/>
              <w:rPr>
                <w:rFonts w:ascii="Arial"/>
                <w:sz w:val="21"/>
              </w:rPr>
            </w:pPr>
          </w:p>
          <w:p w14:paraId="062A604F">
            <w:pPr>
              <w:spacing w:line="248" w:lineRule="auto"/>
              <w:rPr>
                <w:rFonts w:ascii="Arial"/>
                <w:sz w:val="21"/>
              </w:rPr>
            </w:pPr>
          </w:p>
          <w:p w14:paraId="5DC1080A">
            <w:pPr>
              <w:spacing w:line="248" w:lineRule="auto"/>
              <w:rPr>
                <w:rFonts w:ascii="Arial"/>
                <w:sz w:val="21"/>
              </w:rPr>
            </w:pPr>
          </w:p>
          <w:p w14:paraId="7096C1B5">
            <w:pPr>
              <w:spacing w:line="248" w:lineRule="auto"/>
              <w:rPr>
                <w:rFonts w:ascii="Arial"/>
                <w:sz w:val="21"/>
              </w:rPr>
            </w:pPr>
          </w:p>
          <w:p w14:paraId="46317C84">
            <w:pPr>
              <w:spacing w:line="248" w:lineRule="auto"/>
              <w:rPr>
                <w:rFonts w:ascii="Arial"/>
                <w:sz w:val="21"/>
              </w:rPr>
            </w:pPr>
          </w:p>
          <w:p w14:paraId="4EAB1356">
            <w:pPr>
              <w:spacing w:line="248" w:lineRule="auto"/>
              <w:rPr>
                <w:rFonts w:ascii="Arial"/>
                <w:sz w:val="21"/>
              </w:rPr>
            </w:pPr>
          </w:p>
          <w:p w14:paraId="37CDFD45">
            <w:pPr>
              <w:spacing w:line="248" w:lineRule="auto"/>
              <w:rPr>
                <w:rFonts w:ascii="Arial"/>
                <w:sz w:val="21"/>
              </w:rPr>
            </w:pPr>
          </w:p>
          <w:p w14:paraId="158BCC40">
            <w:pPr>
              <w:spacing w:line="248" w:lineRule="auto"/>
              <w:rPr>
                <w:rFonts w:ascii="Arial"/>
                <w:sz w:val="21"/>
              </w:rPr>
            </w:pPr>
          </w:p>
          <w:p w14:paraId="2AF7675B">
            <w:pPr>
              <w:spacing w:line="248" w:lineRule="auto"/>
              <w:rPr>
                <w:rFonts w:ascii="Arial"/>
                <w:sz w:val="21"/>
              </w:rPr>
            </w:pPr>
          </w:p>
          <w:p w14:paraId="04AD1982">
            <w:pPr>
              <w:spacing w:line="248" w:lineRule="auto"/>
              <w:rPr>
                <w:rFonts w:ascii="Arial"/>
                <w:sz w:val="21"/>
              </w:rPr>
            </w:pPr>
          </w:p>
          <w:p w14:paraId="5E644282">
            <w:pPr>
              <w:spacing w:line="248" w:lineRule="auto"/>
              <w:rPr>
                <w:rFonts w:ascii="Arial"/>
                <w:sz w:val="21"/>
              </w:rPr>
            </w:pPr>
          </w:p>
          <w:p w14:paraId="109B6A1D">
            <w:pPr>
              <w:spacing w:line="248" w:lineRule="auto"/>
              <w:rPr>
                <w:rFonts w:ascii="Arial"/>
                <w:sz w:val="21"/>
              </w:rPr>
            </w:pPr>
          </w:p>
          <w:p w14:paraId="1970D220">
            <w:pPr>
              <w:spacing w:line="248" w:lineRule="auto"/>
              <w:rPr>
                <w:rFonts w:ascii="Arial"/>
                <w:sz w:val="21"/>
              </w:rPr>
            </w:pPr>
          </w:p>
          <w:p w14:paraId="3941A12C">
            <w:pPr>
              <w:spacing w:line="248" w:lineRule="auto"/>
              <w:rPr>
                <w:rFonts w:ascii="Arial"/>
                <w:sz w:val="21"/>
              </w:rPr>
            </w:pPr>
          </w:p>
          <w:p w14:paraId="5443DAE6">
            <w:pPr>
              <w:spacing w:line="248" w:lineRule="auto"/>
              <w:rPr>
                <w:rFonts w:ascii="Arial"/>
                <w:sz w:val="21"/>
              </w:rPr>
            </w:pPr>
          </w:p>
          <w:p w14:paraId="396586BC">
            <w:pPr>
              <w:pStyle w:val="7"/>
              <w:spacing w:before="75" w:line="228" w:lineRule="auto"/>
              <w:ind w:left="191"/>
            </w:pPr>
            <w:r>
              <w:rPr>
                <w:spacing w:val="6"/>
              </w:rPr>
              <w:t>主观分</w:t>
            </w:r>
          </w:p>
        </w:tc>
        <w:tc>
          <w:tcPr>
            <w:tcW w:w="636" w:type="dxa"/>
            <w:vAlign w:val="top"/>
          </w:tcPr>
          <w:p w14:paraId="1A020175">
            <w:pPr>
              <w:spacing w:line="248" w:lineRule="auto"/>
              <w:rPr>
                <w:rFonts w:ascii="Arial"/>
                <w:sz w:val="21"/>
              </w:rPr>
            </w:pPr>
          </w:p>
          <w:p w14:paraId="0CE6A9A2">
            <w:pPr>
              <w:spacing w:line="248" w:lineRule="auto"/>
              <w:rPr>
                <w:rFonts w:ascii="Arial"/>
                <w:sz w:val="21"/>
              </w:rPr>
            </w:pPr>
          </w:p>
          <w:p w14:paraId="6109708B">
            <w:pPr>
              <w:spacing w:line="248" w:lineRule="auto"/>
              <w:rPr>
                <w:rFonts w:ascii="Arial"/>
                <w:sz w:val="21"/>
              </w:rPr>
            </w:pPr>
          </w:p>
          <w:p w14:paraId="02062EA6">
            <w:pPr>
              <w:spacing w:line="248" w:lineRule="auto"/>
              <w:rPr>
                <w:rFonts w:ascii="Arial"/>
                <w:sz w:val="21"/>
              </w:rPr>
            </w:pPr>
          </w:p>
          <w:p w14:paraId="2AB57E24">
            <w:pPr>
              <w:spacing w:line="248" w:lineRule="auto"/>
              <w:rPr>
                <w:rFonts w:ascii="Arial"/>
                <w:sz w:val="21"/>
              </w:rPr>
            </w:pPr>
          </w:p>
          <w:p w14:paraId="7A1C687D">
            <w:pPr>
              <w:spacing w:line="248" w:lineRule="auto"/>
              <w:rPr>
                <w:rFonts w:ascii="Arial"/>
                <w:sz w:val="21"/>
              </w:rPr>
            </w:pPr>
          </w:p>
          <w:p w14:paraId="41B18288">
            <w:pPr>
              <w:spacing w:line="248" w:lineRule="auto"/>
              <w:rPr>
                <w:rFonts w:ascii="Arial"/>
                <w:sz w:val="21"/>
              </w:rPr>
            </w:pPr>
          </w:p>
          <w:p w14:paraId="16E84556">
            <w:pPr>
              <w:spacing w:line="248" w:lineRule="auto"/>
              <w:rPr>
                <w:rFonts w:ascii="Arial"/>
                <w:sz w:val="21"/>
              </w:rPr>
            </w:pPr>
          </w:p>
          <w:p w14:paraId="4D39B52A">
            <w:pPr>
              <w:spacing w:line="248" w:lineRule="auto"/>
              <w:rPr>
                <w:rFonts w:ascii="Arial"/>
                <w:sz w:val="21"/>
              </w:rPr>
            </w:pPr>
          </w:p>
          <w:p w14:paraId="242BAAB7">
            <w:pPr>
              <w:spacing w:line="248" w:lineRule="auto"/>
              <w:rPr>
                <w:rFonts w:ascii="Arial"/>
                <w:sz w:val="21"/>
              </w:rPr>
            </w:pPr>
          </w:p>
          <w:p w14:paraId="05E65672">
            <w:pPr>
              <w:spacing w:line="248" w:lineRule="auto"/>
              <w:rPr>
                <w:rFonts w:ascii="Arial"/>
                <w:sz w:val="21"/>
              </w:rPr>
            </w:pPr>
          </w:p>
          <w:p w14:paraId="08A99A86">
            <w:pPr>
              <w:spacing w:line="248" w:lineRule="auto"/>
              <w:rPr>
                <w:rFonts w:ascii="Arial"/>
                <w:sz w:val="21"/>
              </w:rPr>
            </w:pPr>
          </w:p>
          <w:p w14:paraId="63BEB609">
            <w:pPr>
              <w:spacing w:line="248" w:lineRule="auto"/>
              <w:rPr>
                <w:rFonts w:ascii="Arial"/>
                <w:sz w:val="21"/>
              </w:rPr>
            </w:pPr>
          </w:p>
          <w:p w14:paraId="7288921D">
            <w:pPr>
              <w:spacing w:line="248" w:lineRule="auto"/>
              <w:rPr>
                <w:rFonts w:ascii="Arial"/>
                <w:sz w:val="21"/>
              </w:rPr>
            </w:pPr>
          </w:p>
          <w:p w14:paraId="4E2D053B">
            <w:pPr>
              <w:spacing w:line="248" w:lineRule="auto"/>
              <w:rPr>
                <w:rFonts w:ascii="Arial"/>
                <w:sz w:val="21"/>
              </w:rPr>
            </w:pPr>
          </w:p>
          <w:p w14:paraId="0E0CD6BD">
            <w:pPr>
              <w:spacing w:line="248" w:lineRule="auto"/>
              <w:rPr>
                <w:rFonts w:ascii="Arial"/>
                <w:sz w:val="21"/>
              </w:rPr>
            </w:pPr>
          </w:p>
          <w:p w14:paraId="034C6A25">
            <w:pPr>
              <w:spacing w:line="248" w:lineRule="auto"/>
              <w:rPr>
                <w:rFonts w:ascii="Arial"/>
                <w:sz w:val="21"/>
              </w:rPr>
            </w:pPr>
          </w:p>
          <w:p w14:paraId="2C670B64">
            <w:pPr>
              <w:pStyle w:val="7"/>
              <w:spacing w:before="75" w:line="310" w:lineRule="exact"/>
              <w:ind w:left="223"/>
            </w:pPr>
            <w:r>
              <w:rPr>
                <w:spacing w:val="-5"/>
                <w:position w:val="1"/>
              </w:rPr>
              <w:t>12</w:t>
            </w:r>
          </w:p>
        </w:tc>
      </w:tr>
      <w:tr w14:paraId="6C69C025">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1811" w:hRule="atLeast"/>
        </w:trPr>
        <w:tc>
          <w:tcPr>
            <w:tcW w:w="636" w:type="dxa"/>
            <w:tcBorders>
              <w:bottom w:val="nil"/>
            </w:tcBorders>
            <w:vAlign w:val="top"/>
          </w:tcPr>
          <w:p w14:paraId="25DBA26C">
            <w:pPr>
              <w:pStyle w:val="7"/>
              <w:spacing w:before="181" w:line="310" w:lineRule="exact"/>
              <w:ind w:left="263"/>
            </w:pPr>
            <w:r>
              <w:rPr>
                <w:position w:val="1"/>
              </w:rPr>
              <w:t>4</w:t>
            </w:r>
          </w:p>
        </w:tc>
        <w:tc>
          <w:tcPr>
            <w:tcW w:w="1796" w:type="dxa"/>
            <w:tcBorders>
              <w:bottom w:val="nil"/>
            </w:tcBorders>
            <w:vAlign w:val="top"/>
          </w:tcPr>
          <w:p w14:paraId="369740E1">
            <w:pPr>
              <w:pStyle w:val="7"/>
              <w:spacing w:before="180" w:line="291" w:lineRule="auto"/>
              <w:ind w:left="131" w:right="226" w:firstLine="2"/>
            </w:pPr>
            <w:r>
              <w:rPr>
                <w:spacing w:val="7"/>
              </w:rPr>
              <w:t>活动现场布置</w:t>
            </w:r>
            <w:r>
              <w:rPr>
                <w:spacing w:val="4"/>
              </w:rPr>
              <w:t>方案</w:t>
            </w:r>
          </w:p>
        </w:tc>
        <w:tc>
          <w:tcPr>
            <w:tcW w:w="4851" w:type="dxa"/>
            <w:tcBorders>
              <w:bottom w:val="nil"/>
            </w:tcBorders>
            <w:vAlign w:val="top"/>
          </w:tcPr>
          <w:p w14:paraId="0711B50F">
            <w:pPr>
              <w:pStyle w:val="7"/>
              <w:spacing w:before="180" w:line="289" w:lineRule="auto"/>
              <w:ind w:left="133" w:right="161" w:hanging="2"/>
            </w:pPr>
            <w:r>
              <w:rPr>
                <w:spacing w:val="9"/>
              </w:rPr>
              <w:t>评委依据供应商提供的活动现场布置方案开</w:t>
            </w:r>
            <w:r>
              <w:rPr>
                <w:spacing w:val="-2"/>
              </w:rPr>
              <w:t>展综合评分：</w:t>
            </w:r>
          </w:p>
          <w:p w14:paraId="33531B56">
            <w:pPr>
              <w:pStyle w:val="7"/>
              <w:spacing w:before="1" w:line="289" w:lineRule="auto"/>
              <w:ind w:left="132" w:right="281" w:firstLine="17"/>
            </w:pPr>
            <w:r>
              <w:rPr>
                <w:spacing w:val="8"/>
              </w:rPr>
              <w:t>1、活动现场布置方案体系完整详实、现场</w:t>
            </w:r>
            <w:r>
              <w:rPr>
                <w:spacing w:val="9"/>
              </w:rPr>
              <w:t>布置实施流程科学规范、布置工期规划合</w:t>
            </w:r>
          </w:p>
        </w:tc>
        <w:tc>
          <w:tcPr>
            <w:tcW w:w="1078" w:type="dxa"/>
            <w:tcBorders>
              <w:bottom w:val="nil"/>
            </w:tcBorders>
            <w:vAlign w:val="top"/>
          </w:tcPr>
          <w:p w14:paraId="4C3274BB">
            <w:pPr>
              <w:pStyle w:val="7"/>
              <w:spacing w:before="181" w:line="228" w:lineRule="auto"/>
              <w:ind w:left="191"/>
            </w:pPr>
            <w:r>
              <w:rPr>
                <w:spacing w:val="6"/>
              </w:rPr>
              <w:t>主观分</w:t>
            </w:r>
          </w:p>
        </w:tc>
        <w:tc>
          <w:tcPr>
            <w:tcW w:w="636" w:type="dxa"/>
            <w:tcBorders>
              <w:bottom w:val="nil"/>
            </w:tcBorders>
            <w:vAlign w:val="top"/>
          </w:tcPr>
          <w:p w14:paraId="78FCCA71">
            <w:pPr>
              <w:pStyle w:val="7"/>
              <w:spacing w:before="181" w:line="310" w:lineRule="exact"/>
              <w:ind w:left="223"/>
            </w:pPr>
            <w:r>
              <w:rPr>
                <w:spacing w:val="-5"/>
                <w:position w:val="1"/>
              </w:rPr>
              <w:t>12</w:t>
            </w:r>
          </w:p>
        </w:tc>
      </w:tr>
    </w:tbl>
    <w:p w14:paraId="40C1D341">
      <w:pPr>
        <w:pStyle w:val="3"/>
      </w:pPr>
    </w:p>
    <w:p w14:paraId="21925267">
      <w:pPr>
        <w:sectPr>
          <w:headerReference r:id="rId14" w:type="default"/>
          <w:footerReference r:id="rId15" w:type="default"/>
          <w:pgSz w:w="11900" w:h="16839"/>
          <w:pgMar w:top="518" w:right="0" w:bottom="429" w:left="839" w:header="241" w:footer="147" w:gutter="0"/>
          <w:cols w:space="720" w:num="1"/>
        </w:sectPr>
      </w:pPr>
    </w:p>
    <w:p w14:paraId="324F4E46">
      <w:pPr>
        <w:spacing w:before="79"/>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1796"/>
        <w:gridCol w:w="4851"/>
        <w:gridCol w:w="1078"/>
        <w:gridCol w:w="636"/>
      </w:tblGrid>
      <w:tr w14:paraId="685A5B28">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7321" w:hRule="atLeast"/>
        </w:trPr>
        <w:tc>
          <w:tcPr>
            <w:tcW w:w="636" w:type="dxa"/>
            <w:tcBorders>
              <w:top w:val="nil"/>
            </w:tcBorders>
            <w:vAlign w:val="top"/>
          </w:tcPr>
          <w:p w14:paraId="50EABD52">
            <w:pPr>
              <w:rPr>
                <w:rFonts w:ascii="Arial"/>
                <w:sz w:val="21"/>
              </w:rPr>
            </w:pPr>
          </w:p>
        </w:tc>
        <w:tc>
          <w:tcPr>
            <w:tcW w:w="1796" w:type="dxa"/>
            <w:tcBorders>
              <w:top w:val="nil"/>
            </w:tcBorders>
            <w:vAlign w:val="top"/>
          </w:tcPr>
          <w:p w14:paraId="78065D33">
            <w:pPr>
              <w:rPr>
                <w:rFonts w:ascii="Arial"/>
                <w:sz w:val="21"/>
              </w:rPr>
            </w:pPr>
          </w:p>
        </w:tc>
        <w:tc>
          <w:tcPr>
            <w:tcW w:w="4851" w:type="dxa"/>
            <w:tcBorders>
              <w:top w:val="nil"/>
            </w:tcBorders>
            <w:vAlign w:val="top"/>
          </w:tcPr>
          <w:p w14:paraId="47F3A7F9">
            <w:pPr>
              <w:pStyle w:val="7"/>
              <w:spacing w:before="62" w:line="289" w:lineRule="auto"/>
              <w:ind w:left="134" w:right="161"/>
              <w:jc w:val="both"/>
            </w:pPr>
            <w:r>
              <w:rPr>
                <w:spacing w:val="9"/>
              </w:rPr>
              <w:t>理、场地布局、氛围营造及应急调整机制完善，完全满足项目活动现场布置需求的，得</w:t>
            </w:r>
            <w:r>
              <w:rPr>
                <w:spacing w:val="-8"/>
              </w:rPr>
              <w:t>12</w:t>
            </w:r>
            <w:r>
              <w:rPr>
                <w:spacing w:val="19"/>
              </w:rPr>
              <w:t xml:space="preserve"> </w:t>
            </w:r>
            <w:r>
              <w:rPr>
                <w:spacing w:val="-8"/>
              </w:rPr>
              <w:t>分；</w:t>
            </w:r>
          </w:p>
          <w:p w14:paraId="59FE8D2A">
            <w:pPr>
              <w:pStyle w:val="7"/>
              <w:spacing w:before="1" w:line="288" w:lineRule="auto"/>
              <w:ind w:left="132" w:right="281" w:firstLine="2"/>
            </w:pPr>
            <w:r>
              <w:rPr>
                <w:spacing w:val="8"/>
              </w:rPr>
              <w:t>2、活动现场布置方案体系较为完整、现场</w:t>
            </w:r>
            <w:r>
              <w:rPr>
                <w:spacing w:val="9"/>
              </w:rPr>
              <w:t>布置实施流程规范、布置工期规划较为合</w:t>
            </w:r>
          </w:p>
          <w:p w14:paraId="11CE43A2">
            <w:pPr>
              <w:pStyle w:val="7"/>
              <w:spacing w:before="1" w:line="288" w:lineRule="auto"/>
              <w:ind w:left="135" w:right="161"/>
            </w:pPr>
            <w:r>
              <w:rPr>
                <w:spacing w:val="9"/>
              </w:rPr>
              <w:t>理、场地布局、氛围营造及应急调整机制较为完善，较好匹配项目活动现场布置需求</w:t>
            </w:r>
          </w:p>
          <w:p w14:paraId="5D7BD0F3">
            <w:pPr>
              <w:pStyle w:val="7"/>
              <w:spacing w:line="227" w:lineRule="auto"/>
              <w:ind w:left="152"/>
            </w:pPr>
            <w:r>
              <w:rPr>
                <w:spacing w:val="-6"/>
              </w:rPr>
              <w:t>的，得</w:t>
            </w:r>
            <w:r>
              <w:rPr>
                <w:spacing w:val="18"/>
              </w:rPr>
              <w:t xml:space="preserve"> </w:t>
            </w:r>
            <w:r>
              <w:rPr>
                <w:spacing w:val="-6"/>
              </w:rPr>
              <w:t>9</w:t>
            </w:r>
            <w:r>
              <w:rPr>
                <w:spacing w:val="17"/>
              </w:rPr>
              <w:t xml:space="preserve"> </w:t>
            </w:r>
            <w:r>
              <w:rPr>
                <w:spacing w:val="-6"/>
              </w:rPr>
              <w:t>分；</w:t>
            </w:r>
          </w:p>
          <w:p w14:paraId="21718291">
            <w:pPr>
              <w:pStyle w:val="7"/>
              <w:spacing w:before="75" w:line="289" w:lineRule="auto"/>
              <w:ind w:left="131" w:right="161" w:firstLine="5"/>
            </w:pPr>
            <w:r>
              <w:rPr>
                <w:spacing w:val="8"/>
              </w:rPr>
              <w:t>3、活动现场布置方案体系基本完整、现场</w:t>
            </w:r>
            <w:r>
              <w:rPr>
                <w:spacing w:val="9"/>
              </w:rPr>
              <w:t>布置实施流程基本可行、布置工期规划基本合理、具备基础场地布置及现场应急调整措施，基本满足项目活动现场布置需求的，得</w:t>
            </w:r>
            <w:r>
              <w:rPr>
                <w:spacing w:val="-11"/>
              </w:rPr>
              <w:t>6</w:t>
            </w:r>
            <w:r>
              <w:rPr>
                <w:spacing w:val="18"/>
              </w:rPr>
              <w:t xml:space="preserve"> </w:t>
            </w:r>
            <w:r>
              <w:rPr>
                <w:spacing w:val="-11"/>
              </w:rPr>
              <w:t>分；</w:t>
            </w:r>
          </w:p>
          <w:p w14:paraId="496C8C18">
            <w:pPr>
              <w:pStyle w:val="7"/>
              <w:spacing w:before="4" w:line="288" w:lineRule="auto"/>
              <w:ind w:left="131" w:right="161"/>
            </w:pPr>
            <w:r>
              <w:rPr>
                <w:spacing w:val="9"/>
              </w:rPr>
              <w:t>4、活动现场布置方案内容简单片面、现场布置实施流程存在明显欠缺、布置工期安排不合理、场地布置及现场应急保障措施不完善，难以适配项目活动现场布置需求的，得</w:t>
            </w:r>
            <w:r>
              <w:rPr>
                <w:spacing w:val="-11"/>
              </w:rPr>
              <w:t>3</w:t>
            </w:r>
            <w:r>
              <w:rPr>
                <w:spacing w:val="17"/>
              </w:rPr>
              <w:t xml:space="preserve"> </w:t>
            </w:r>
            <w:r>
              <w:rPr>
                <w:spacing w:val="-11"/>
              </w:rPr>
              <w:t>分；</w:t>
            </w:r>
          </w:p>
          <w:p w14:paraId="406C1BEF">
            <w:pPr>
              <w:pStyle w:val="7"/>
              <w:spacing w:before="2" w:line="290" w:lineRule="auto"/>
              <w:ind w:left="135" w:right="281" w:firstLine="1"/>
            </w:pPr>
            <w:r>
              <w:rPr>
                <w:spacing w:val="8"/>
              </w:rPr>
              <w:t>5、其他情况或未提供相关方案的，不予计</w:t>
            </w:r>
            <w:r>
              <w:rPr>
                <w:spacing w:val="-9"/>
              </w:rPr>
              <w:t>分。</w:t>
            </w:r>
          </w:p>
        </w:tc>
        <w:tc>
          <w:tcPr>
            <w:tcW w:w="1078" w:type="dxa"/>
            <w:tcBorders>
              <w:top w:val="nil"/>
            </w:tcBorders>
            <w:vAlign w:val="top"/>
          </w:tcPr>
          <w:p w14:paraId="5EECC161">
            <w:pPr>
              <w:rPr>
                <w:rFonts w:ascii="Arial"/>
                <w:sz w:val="21"/>
              </w:rPr>
            </w:pPr>
          </w:p>
        </w:tc>
        <w:tc>
          <w:tcPr>
            <w:tcW w:w="636" w:type="dxa"/>
            <w:tcBorders>
              <w:top w:val="nil"/>
            </w:tcBorders>
            <w:vAlign w:val="top"/>
          </w:tcPr>
          <w:p w14:paraId="0B9E9206">
            <w:pPr>
              <w:rPr>
                <w:rFonts w:ascii="Arial"/>
                <w:sz w:val="21"/>
              </w:rPr>
            </w:pPr>
          </w:p>
        </w:tc>
      </w:tr>
      <w:tr w14:paraId="55009CBF">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7821" w:hRule="atLeast"/>
        </w:trPr>
        <w:tc>
          <w:tcPr>
            <w:tcW w:w="636" w:type="dxa"/>
            <w:tcBorders>
              <w:bottom w:val="nil"/>
            </w:tcBorders>
            <w:vAlign w:val="top"/>
          </w:tcPr>
          <w:p w14:paraId="7AA4D210">
            <w:pPr>
              <w:pStyle w:val="7"/>
              <w:spacing w:before="181" w:line="308" w:lineRule="exact"/>
              <w:ind w:left="268"/>
            </w:pPr>
            <w:r>
              <w:rPr>
                <w:position w:val="1"/>
              </w:rPr>
              <w:t>5</w:t>
            </w:r>
          </w:p>
        </w:tc>
        <w:tc>
          <w:tcPr>
            <w:tcW w:w="1796" w:type="dxa"/>
            <w:tcBorders>
              <w:bottom w:val="nil"/>
            </w:tcBorders>
            <w:vAlign w:val="top"/>
          </w:tcPr>
          <w:p w14:paraId="7E0E8FF9">
            <w:pPr>
              <w:pStyle w:val="7"/>
              <w:spacing w:before="181" w:line="227" w:lineRule="auto"/>
              <w:ind w:left="133"/>
            </w:pPr>
            <w:r>
              <w:rPr>
                <w:spacing w:val="7"/>
              </w:rPr>
              <w:t>活动执行期间</w:t>
            </w:r>
          </w:p>
          <w:p w14:paraId="29C5A9D9">
            <w:pPr>
              <w:pStyle w:val="7"/>
              <w:spacing w:before="76" w:line="227" w:lineRule="auto"/>
              <w:ind w:left="130"/>
            </w:pPr>
            <w:r>
              <w:rPr>
                <w:spacing w:val="8"/>
              </w:rPr>
              <w:t>服务保障方案</w:t>
            </w:r>
          </w:p>
        </w:tc>
        <w:tc>
          <w:tcPr>
            <w:tcW w:w="4851" w:type="dxa"/>
            <w:tcBorders>
              <w:bottom w:val="nil"/>
            </w:tcBorders>
            <w:vAlign w:val="top"/>
          </w:tcPr>
          <w:p w14:paraId="2CDCA764">
            <w:pPr>
              <w:pStyle w:val="7"/>
              <w:spacing w:before="180" w:line="289" w:lineRule="auto"/>
              <w:ind w:left="144" w:right="161" w:hanging="13"/>
            </w:pPr>
            <w:r>
              <w:rPr>
                <w:spacing w:val="9"/>
              </w:rPr>
              <w:t>评委依据供应商提供的活动执行期间服务保</w:t>
            </w:r>
            <w:r>
              <w:rPr>
                <w:spacing w:val="1"/>
              </w:rPr>
              <w:t>障方案开展综合评分：</w:t>
            </w:r>
          </w:p>
          <w:p w14:paraId="3E073602">
            <w:pPr>
              <w:pStyle w:val="7"/>
              <w:spacing w:before="4" w:line="288" w:lineRule="auto"/>
              <w:ind w:left="131" w:right="161" w:firstLine="18"/>
            </w:pPr>
            <w:r>
              <w:rPr>
                <w:spacing w:val="8"/>
              </w:rPr>
              <w:t>1、活动服务保障方案体系完整详实、全流</w:t>
            </w:r>
            <w:r>
              <w:rPr>
                <w:spacing w:val="9"/>
              </w:rPr>
              <w:t>程执行保障流程科学规范、各阶段服务进度规划合理、现场运维及突发应急保障机制完善，完全满足项目活动执行全流程服务需求</w:t>
            </w:r>
            <w:r>
              <w:rPr>
                <w:spacing w:val="-4"/>
              </w:rPr>
              <w:t>的，得</w:t>
            </w:r>
            <w:r>
              <w:rPr>
                <w:spacing w:val="35"/>
              </w:rPr>
              <w:t xml:space="preserve"> </w:t>
            </w:r>
            <w:r>
              <w:rPr>
                <w:spacing w:val="-4"/>
              </w:rPr>
              <w:t>12</w:t>
            </w:r>
            <w:r>
              <w:rPr>
                <w:spacing w:val="18"/>
              </w:rPr>
              <w:t xml:space="preserve"> </w:t>
            </w:r>
            <w:r>
              <w:rPr>
                <w:spacing w:val="-4"/>
              </w:rPr>
              <w:t>分；</w:t>
            </w:r>
          </w:p>
          <w:p w14:paraId="200AB199">
            <w:pPr>
              <w:pStyle w:val="7"/>
              <w:spacing w:before="4" w:line="288" w:lineRule="auto"/>
              <w:ind w:left="132" w:right="161" w:firstLine="2"/>
            </w:pPr>
            <w:r>
              <w:rPr>
                <w:spacing w:val="8"/>
              </w:rPr>
              <w:t>2、活动服务保障方案体系较为完整、活动</w:t>
            </w:r>
            <w:r>
              <w:rPr>
                <w:spacing w:val="9"/>
              </w:rPr>
              <w:t>执行保障流程规范、各阶段服务进度规划较为合理、现场运维及突发应急保障机制较为</w:t>
            </w:r>
            <w:r>
              <w:rPr>
                <w:spacing w:val="6"/>
              </w:rPr>
              <w:t>完善，较好匹配项目活动执行服务需求的，</w:t>
            </w:r>
            <w:r>
              <w:rPr>
                <w:spacing w:val="-8"/>
              </w:rPr>
              <w:t>得</w:t>
            </w:r>
            <w:r>
              <w:rPr>
                <w:spacing w:val="15"/>
              </w:rPr>
              <w:t xml:space="preserve"> </w:t>
            </w:r>
            <w:r>
              <w:rPr>
                <w:spacing w:val="-8"/>
              </w:rPr>
              <w:t>9</w:t>
            </w:r>
            <w:r>
              <w:rPr>
                <w:spacing w:val="17"/>
              </w:rPr>
              <w:t xml:space="preserve"> </w:t>
            </w:r>
            <w:r>
              <w:rPr>
                <w:spacing w:val="-8"/>
              </w:rPr>
              <w:t>分；</w:t>
            </w:r>
          </w:p>
          <w:p w14:paraId="170EFB85">
            <w:pPr>
              <w:pStyle w:val="7"/>
              <w:spacing w:before="4" w:line="288" w:lineRule="auto"/>
              <w:ind w:left="131" w:right="161" w:firstLine="5"/>
            </w:pPr>
            <w:r>
              <w:rPr>
                <w:spacing w:val="8"/>
              </w:rPr>
              <w:t>3、活动服务保障方案体系基本完整、活动</w:t>
            </w:r>
            <w:r>
              <w:rPr>
                <w:spacing w:val="9"/>
              </w:rPr>
              <w:t>执行保障流程基本可行、各阶段服务进度规划基本合理、具备基础现场运维及突发应急保障措施，基本满足项目活动执行服务需求</w:t>
            </w:r>
            <w:r>
              <w:rPr>
                <w:spacing w:val="-3"/>
              </w:rPr>
              <w:t>的，得</w:t>
            </w:r>
            <w:r>
              <w:rPr>
                <w:spacing w:val="20"/>
              </w:rPr>
              <w:t xml:space="preserve"> </w:t>
            </w:r>
            <w:r>
              <w:rPr>
                <w:spacing w:val="-3"/>
              </w:rPr>
              <w:t>6</w:t>
            </w:r>
            <w:r>
              <w:rPr>
                <w:spacing w:val="18"/>
              </w:rPr>
              <w:t xml:space="preserve"> </w:t>
            </w:r>
            <w:r>
              <w:rPr>
                <w:spacing w:val="-3"/>
              </w:rPr>
              <w:t>分；</w:t>
            </w:r>
          </w:p>
          <w:p w14:paraId="25036172">
            <w:pPr>
              <w:pStyle w:val="7"/>
              <w:spacing w:before="2" w:line="289" w:lineRule="auto"/>
              <w:ind w:left="131" w:right="161"/>
            </w:pPr>
            <w:r>
              <w:rPr>
                <w:spacing w:val="9"/>
              </w:rPr>
              <w:t>4、活动服务保障方案内容简单片面、活动执行保障流程存在明显欠缺、服务进度安排不合理、现场运维及突发应急保障措施不完善，难以适配项目活动执行服务需求的，得</w:t>
            </w:r>
          </w:p>
        </w:tc>
        <w:tc>
          <w:tcPr>
            <w:tcW w:w="1078" w:type="dxa"/>
            <w:tcBorders>
              <w:bottom w:val="nil"/>
            </w:tcBorders>
            <w:vAlign w:val="top"/>
          </w:tcPr>
          <w:p w14:paraId="0BE2C3E4">
            <w:pPr>
              <w:pStyle w:val="7"/>
              <w:spacing w:before="181" w:line="228" w:lineRule="auto"/>
              <w:ind w:left="191"/>
            </w:pPr>
            <w:r>
              <w:rPr>
                <w:spacing w:val="6"/>
              </w:rPr>
              <w:t>主观分</w:t>
            </w:r>
          </w:p>
        </w:tc>
        <w:tc>
          <w:tcPr>
            <w:tcW w:w="636" w:type="dxa"/>
            <w:tcBorders>
              <w:bottom w:val="nil"/>
            </w:tcBorders>
            <w:vAlign w:val="top"/>
          </w:tcPr>
          <w:p w14:paraId="34CE93C0">
            <w:pPr>
              <w:pStyle w:val="7"/>
              <w:spacing w:before="181" w:line="310" w:lineRule="exact"/>
              <w:ind w:left="223"/>
            </w:pPr>
            <w:r>
              <w:rPr>
                <w:spacing w:val="-5"/>
                <w:position w:val="1"/>
              </w:rPr>
              <w:t>12</w:t>
            </w:r>
          </w:p>
        </w:tc>
      </w:tr>
    </w:tbl>
    <w:p w14:paraId="395E7FE6">
      <w:pPr>
        <w:pStyle w:val="3"/>
      </w:pPr>
    </w:p>
    <w:p w14:paraId="355130C4">
      <w:pPr>
        <w:sectPr>
          <w:headerReference r:id="rId16" w:type="default"/>
          <w:footerReference r:id="rId17" w:type="default"/>
          <w:pgSz w:w="11900" w:h="16839"/>
          <w:pgMar w:top="518" w:right="0" w:bottom="432" w:left="839" w:header="241" w:footer="147" w:gutter="0"/>
          <w:cols w:space="720" w:num="1"/>
        </w:sectPr>
      </w:pPr>
    </w:p>
    <w:p w14:paraId="60E2DFF8">
      <w:pPr>
        <w:spacing w:before="79"/>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1796"/>
        <w:gridCol w:w="4851"/>
        <w:gridCol w:w="1078"/>
        <w:gridCol w:w="636"/>
      </w:tblGrid>
      <w:tr w14:paraId="29D4EF45">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1207" w:hRule="atLeast"/>
        </w:trPr>
        <w:tc>
          <w:tcPr>
            <w:tcW w:w="636" w:type="dxa"/>
            <w:tcBorders>
              <w:top w:val="nil"/>
            </w:tcBorders>
            <w:vAlign w:val="top"/>
          </w:tcPr>
          <w:p w14:paraId="6139EB56">
            <w:pPr>
              <w:rPr>
                <w:rFonts w:ascii="Arial"/>
                <w:sz w:val="21"/>
              </w:rPr>
            </w:pPr>
          </w:p>
        </w:tc>
        <w:tc>
          <w:tcPr>
            <w:tcW w:w="1796" w:type="dxa"/>
            <w:tcBorders>
              <w:top w:val="nil"/>
            </w:tcBorders>
            <w:vAlign w:val="top"/>
          </w:tcPr>
          <w:p w14:paraId="107E7F25">
            <w:pPr>
              <w:rPr>
                <w:rFonts w:ascii="Arial"/>
                <w:sz w:val="21"/>
              </w:rPr>
            </w:pPr>
          </w:p>
        </w:tc>
        <w:tc>
          <w:tcPr>
            <w:tcW w:w="4851" w:type="dxa"/>
            <w:tcBorders>
              <w:top w:val="nil"/>
            </w:tcBorders>
            <w:vAlign w:val="top"/>
          </w:tcPr>
          <w:p w14:paraId="01539D6F">
            <w:pPr>
              <w:pStyle w:val="7"/>
              <w:spacing w:before="63" w:line="228" w:lineRule="auto"/>
              <w:ind w:left="137"/>
            </w:pPr>
            <w:r>
              <w:rPr>
                <w:spacing w:val="-13"/>
              </w:rPr>
              <w:t>3</w:t>
            </w:r>
            <w:r>
              <w:rPr>
                <w:spacing w:val="19"/>
              </w:rPr>
              <w:t xml:space="preserve"> </w:t>
            </w:r>
            <w:r>
              <w:rPr>
                <w:spacing w:val="-13"/>
              </w:rPr>
              <w:t>分；</w:t>
            </w:r>
          </w:p>
          <w:p w14:paraId="4ABE06A9">
            <w:pPr>
              <w:pStyle w:val="7"/>
              <w:spacing w:before="74" w:line="291" w:lineRule="auto"/>
              <w:ind w:left="151" w:right="521" w:hanging="14"/>
            </w:pPr>
            <w:r>
              <w:rPr>
                <w:spacing w:val="8"/>
              </w:rPr>
              <w:t>5、其他情况或未提供相关服务保障方案</w:t>
            </w:r>
            <w:r>
              <w:rPr>
                <w:spacing w:val="-1"/>
              </w:rPr>
              <w:t>的，不予计分。</w:t>
            </w:r>
          </w:p>
        </w:tc>
        <w:tc>
          <w:tcPr>
            <w:tcW w:w="1078" w:type="dxa"/>
            <w:tcBorders>
              <w:top w:val="nil"/>
            </w:tcBorders>
            <w:vAlign w:val="top"/>
          </w:tcPr>
          <w:p w14:paraId="2DAE4950">
            <w:pPr>
              <w:rPr>
                <w:rFonts w:ascii="Arial"/>
                <w:sz w:val="21"/>
              </w:rPr>
            </w:pPr>
          </w:p>
        </w:tc>
        <w:tc>
          <w:tcPr>
            <w:tcW w:w="636" w:type="dxa"/>
            <w:tcBorders>
              <w:top w:val="nil"/>
            </w:tcBorders>
            <w:vAlign w:val="top"/>
          </w:tcPr>
          <w:p w14:paraId="026DEF2C">
            <w:pPr>
              <w:rPr>
                <w:rFonts w:ascii="Arial"/>
                <w:sz w:val="21"/>
              </w:rPr>
            </w:pPr>
          </w:p>
        </w:tc>
      </w:tr>
      <w:tr w14:paraId="0B2A113A">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3482" w:hRule="atLeast"/>
        </w:trPr>
        <w:tc>
          <w:tcPr>
            <w:tcW w:w="636" w:type="dxa"/>
            <w:vAlign w:val="top"/>
          </w:tcPr>
          <w:p w14:paraId="1499DEA8">
            <w:pPr>
              <w:spacing w:line="255" w:lineRule="auto"/>
              <w:rPr>
                <w:rFonts w:ascii="Arial"/>
                <w:sz w:val="21"/>
              </w:rPr>
            </w:pPr>
          </w:p>
          <w:p w14:paraId="31576262">
            <w:pPr>
              <w:spacing w:line="256" w:lineRule="auto"/>
              <w:rPr>
                <w:rFonts w:ascii="Arial"/>
                <w:sz w:val="21"/>
              </w:rPr>
            </w:pPr>
          </w:p>
          <w:p w14:paraId="723BFA0B">
            <w:pPr>
              <w:spacing w:line="256" w:lineRule="auto"/>
              <w:rPr>
                <w:rFonts w:ascii="Arial"/>
                <w:sz w:val="21"/>
              </w:rPr>
            </w:pPr>
          </w:p>
          <w:p w14:paraId="4049E274">
            <w:pPr>
              <w:spacing w:line="256" w:lineRule="auto"/>
              <w:rPr>
                <w:rFonts w:ascii="Arial"/>
                <w:sz w:val="21"/>
              </w:rPr>
            </w:pPr>
          </w:p>
          <w:p w14:paraId="754DE271">
            <w:pPr>
              <w:spacing w:line="256" w:lineRule="auto"/>
              <w:rPr>
                <w:rFonts w:ascii="Arial"/>
                <w:sz w:val="21"/>
              </w:rPr>
            </w:pPr>
          </w:p>
          <w:p w14:paraId="6D03E61F">
            <w:pPr>
              <w:spacing w:line="256" w:lineRule="auto"/>
              <w:rPr>
                <w:rFonts w:ascii="Arial"/>
                <w:sz w:val="21"/>
              </w:rPr>
            </w:pPr>
          </w:p>
          <w:p w14:paraId="157415DB">
            <w:pPr>
              <w:pStyle w:val="7"/>
              <w:spacing w:before="74" w:line="309" w:lineRule="exact"/>
              <w:ind w:left="265"/>
            </w:pPr>
            <w:r>
              <w:rPr>
                <w:position w:val="1"/>
              </w:rPr>
              <w:t>6</w:t>
            </w:r>
          </w:p>
        </w:tc>
        <w:tc>
          <w:tcPr>
            <w:tcW w:w="1796" w:type="dxa"/>
            <w:vAlign w:val="top"/>
          </w:tcPr>
          <w:p w14:paraId="4919C515">
            <w:pPr>
              <w:spacing w:line="255" w:lineRule="auto"/>
              <w:rPr>
                <w:rFonts w:ascii="Arial"/>
                <w:sz w:val="21"/>
              </w:rPr>
            </w:pPr>
          </w:p>
          <w:p w14:paraId="765FF4B6">
            <w:pPr>
              <w:spacing w:line="256" w:lineRule="auto"/>
              <w:rPr>
                <w:rFonts w:ascii="Arial"/>
                <w:sz w:val="21"/>
              </w:rPr>
            </w:pPr>
          </w:p>
          <w:p w14:paraId="3F662409">
            <w:pPr>
              <w:spacing w:line="256" w:lineRule="auto"/>
              <w:rPr>
                <w:rFonts w:ascii="Arial"/>
                <w:sz w:val="21"/>
              </w:rPr>
            </w:pPr>
          </w:p>
          <w:p w14:paraId="5F601228">
            <w:pPr>
              <w:spacing w:line="256" w:lineRule="auto"/>
              <w:rPr>
                <w:rFonts w:ascii="Arial"/>
                <w:sz w:val="21"/>
              </w:rPr>
            </w:pPr>
          </w:p>
          <w:p w14:paraId="0B4F212D">
            <w:pPr>
              <w:spacing w:line="256" w:lineRule="auto"/>
              <w:rPr>
                <w:rFonts w:ascii="Arial"/>
                <w:sz w:val="21"/>
              </w:rPr>
            </w:pPr>
          </w:p>
          <w:p w14:paraId="267E3305">
            <w:pPr>
              <w:spacing w:line="256" w:lineRule="auto"/>
              <w:rPr>
                <w:rFonts w:ascii="Arial"/>
                <w:sz w:val="21"/>
              </w:rPr>
            </w:pPr>
          </w:p>
          <w:p w14:paraId="04954A72">
            <w:pPr>
              <w:pStyle w:val="7"/>
              <w:spacing w:before="74" w:line="228" w:lineRule="auto"/>
              <w:ind w:left="129"/>
            </w:pPr>
            <w:r>
              <w:rPr>
                <w:spacing w:val="5"/>
              </w:rPr>
              <w:t>业绩</w:t>
            </w:r>
          </w:p>
        </w:tc>
        <w:tc>
          <w:tcPr>
            <w:tcW w:w="4851" w:type="dxa"/>
            <w:vAlign w:val="top"/>
          </w:tcPr>
          <w:p w14:paraId="0405AF45">
            <w:pPr>
              <w:pStyle w:val="7"/>
              <w:spacing w:before="180" w:line="227" w:lineRule="auto"/>
              <w:ind w:left="171"/>
            </w:pPr>
            <w:r>
              <w:rPr>
                <w:spacing w:val="6"/>
              </w:rPr>
              <w:t>自2023年1月1日以来（以合同签订时间为</w:t>
            </w:r>
          </w:p>
          <w:p w14:paraId="03A8EC29">
            <w:pPr>
              <w:pStyle w:val="7"/>
              <w:spacing w:before="74" w:line="289" w:lineRule="auto"/>
              <w:ind w:left="131" w:right="161" w:firstLine="2"/>
            </w:pPr>
            <w:r>
              <w:rPr>
                <w:spacing w:val="9"/>
              </w:rPr>
              <w:t>准</w:t>
            </w:r>
            <w:r>
              <w:rPr>
                <w:spacing w:val="10"/>
              </w:rPr>
              <w:t>），</w:t>
            </w:r>
            <w:r>
              <w:rPr>
                <w:spacing w:val="9"/>
              </w:rPr>
              <w:t>供应商具有类似业绩的，每提供一个</w:t>
            </w:r>
            <w:r>
              <w:rPr>
                <w:spacing w:val="8"/>
              </w:rPr>
              <w:t>业绩得3分，满分9分（须提供合同扫描件加</w:t>
            </w:r>
            <w:r>
              <w:rPr>
                <w:spacing w:val="9"/>
              </w:rPr>
              <w:t>盖公章，合同扫描件中至少包括合同的甲乙双方，合同标的、双方签章）。同一甲方单</w:t>
            </w:r>
            <w:r>
              <w:rPr>
                <w:spacing w:val="6"/>
              </w:rPr>
              <w:t>位的业绩不重复计分；未提供不得分。</w:t>
            </w:r>
          </w:p>
          <w:p w14:paraId="0E05F0DD">
            <w:pPr>
              <w:pStyle w:val="7"/>
              <w:spacing w:before="3" w:line="289" w:lineRule="auto"/>
              <w:ind w:left="135" w:right="161" w:hanging="1"/>
            </w:pPr>
            <w:r>
              <w:rPr>
                <w:spacing w:val="6"/>
              </w:rPr>
              <w:t>上述相关证明材料须扫描后编入响应文件，</w:t>
            </w:r>
            <w:r>
              <w:rPr>
                <w:spacing w:val="9"/>
              </w:rPr>
              <w:t>并加盖供应商公章；未按此要求提供的，相</w:t>
            </w:r>
            <w:r>
              <w:rPr>
                <w:spacing w:val="3"/>
              </w:rPr>
              <w:t>关项目不予计分。</w:t>
            </w:r>
          </w:p>
        </w:tc>
        <w:tc>
          <w:tcPr>
            <w:tcW w:w="1078" w:type="dxa"/>
            <w:vAlign w:val="top"/>
          </w:tcPr>
          <w:p w14:paraId="4F1C8384">
            <w:pPr>
              <w:spacing w:line="255" w:lineRule="auto"/>
              <w:rPr>
                <w:rFonts w:ascii="Arial"/>
                <w:sz w:val="21"/>
              </w:rPr>
            </w:pPr>
          </w:p>
          <w:p w14:paraId="4CD6C5BF">
            <w:pPr>
              <w:spacing w:line="256" w:lineRule="auto"/>
              <w:rPr>
                <w:rFonts w:ascii="Arial"/>
                <w:sz w:val="21"/>
              </w:rPr>
            </w:pPr>
          </w:p>
          <w:p w14:paraId="75C93EA6">
            <w:pPr>
              <w:spacing w:line="256" w:lineRule="auto"/>
              <w:rPr>
                <w:rFonts w:ascii="Arial"/>
                <w:sz w:val="21"/>
              </w:rPr>
            </w:pPr>
          </w:p>
          <w:p w14:paraId="679A515E">
            <w:pPr>
              <w:spacing w:line="256" w:lineRule="auto"/>
              <w:rPr>
                <w:rFonts w:ascii="Arial"/>
                <w:sz w:val="21"/>
              </w:rPr>
            </w:pPr>
          </w:p>
          <w:p w14:paraId="465FBC27">
            <w:pPr>
              <w:spacing w:line="256" w:lineRule="auto"/>
              <w:rPr>
                <w:rFonts w:ascii="Arial"/>
                <w:sz w:val="21"/>
              </w:rPr>
            </w:pPr>
          </w:p>
          <w:p w14:paraId="45FB7AEE">
            <w:pPr>
              <w:spacing w:line="256" w:lineRule="auto"/>
              <w:rPr>
                <w:rFonts w:ascii="Arial"/>
                <w:sz w:val="21"/>
              </w:rPr>
            </w:pPr>
          </w:p>
          <w:p w14:paraId="5B9FB8C9">
            <w:pPr>
              <w:pStyle w:val="7"/>
              <w:spacing w:before="74" w:line="228" w:lineRule="auto"/>
              <w:ind w:left="191"/>
            </w:pPr>
            <w:r>
              <w:rPr>
                <w:spacing w:val="6"/>
              </w:rPr>
              <w:t>客观分</w:t>
            </w:r>
          </w:p>
        </w:tc>
        <w:tc>
          <w:tcPr>
            <w:tcW w:w="636" w:type="dxa"/>
            <w:vAlign w:val="top"/>
          </w:tcPr>
          <w:p w14:paraId="75E9CA45">
            <w:pPr>
              <w:spacing w:line="255" w:lineRule="auto"/>
              <w:rPr>
                <w:rFonts w:ascii="Arial"/>
                <w:sz w:val="21"/>
              </w:rPr>
            </w:pPr>
          </w:p>
          <w:p w14:paraId="6389FA41">
            <w:pPr>
              <w:spacing w:line="256" w:lineRule="auto"/>
              <w:rPr>
                <w:rFonts w:ascii="Arial"/>
                <w:sz w:val="21"/>
              </w:rPr>
            </w:pPr>
          </w:p>
          <w:p w14:paraId="2BBB88D5">
            <w:pPr>
              <w:spacing w:line="256" w:lineRule="auto"/>
              <w:rPr>
                <w:rFonts w:ascii="Arial"/>
                <w:sz w:val="21"/>
              </w:rPr>
            </w:pPr>
          </w:p>
          <w:p w14:paraId="40672CB6">
            <w:pPr>
              <w:spacing w:line="256" w:lineRule="auto"/>
              <w:rPr>
                <w:rFonts w:ascii="Arial"/>
                <w:sz w:val="21"/>
              </w:rPr>
            </w:pPr>
          </w:p>
          <w:p w14:paraId="047B1815">
            <w:pPr>
              <w:spacing w:line="256" w:lineRule="auto"/>
              <w:rPr>
                <w:rFonts w:ascii="Arial"/>
                <w:sz w:val="21"/>
              </w:rPr>
            </w:pPr>
          </w:p>
          <w:p w14:paraId="34F29A6D">
            <w:pPr>
              <w:spacing w:line="256" w:lineRule="auto"/>
              <w:rPr>
                <w:rFonts w:ascii="Arial"/>
                <w:sz w:val="21"/>
              </w:rPr>
            </w:pPr>
          </w:p>
          <w:p w14:paraId="53BE3A04">
            <w:pPr>
              <w:pStyle w:val="7"/>
              <w:spacing w:before="74" w:line="309" w:lineRule="exact"/>
              <w:ind w:left="266"/>
            </w:pPr>
            <w:r>
              <w:rPr>
                <w:position w:val="1"/>
              </w:rPr>
              <w:t>9</w:t>
            </w:r>
          </w:p>
        </w:tc>
      </w:tr>
      <w:tr w14:paraId="7422ED68">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5640" w:hRule="atLeast"/>
        </w:trPr>
        <w:tc>
          <w:tcPr>
            <w:tcW w:w="636" w:type="dxa"/>
            <w:vAlign w:val="top"/>
          </w:tcPr>
          <w:p w14:paraId="2EDFF5B7">
            <w:pPr>
              <w:spacing w:line="260" w:lineRule="auto"/>
              <w:rPr>
                <w:rFonts w:ascii="Arial"/>
                <w:sz w:val="21"/>
              </w:rPr>
            </w:pPr>
          </w:p>
          <w:p w14:paraId="6CA4DC8A">
            <w:pPr>
              <w:spacing w:line="260" w:lineRule="auto"/>
              <w:rPr>
                <w:rFonts w:ascii="Arial"/>
                <w:sz w:val="21"/>
              </w:rPr>
            </w:pPr>
          </w:p>
          <w:p w14:paraId="04CEE403">
            <w:pPr>
              <w:spacing w:line="260" w:lineRule="auto"/>
              <w:rPr>
                <w:rFonts w:ascii="Arial"/>
                <w:sz w:val="21"/>
              </w:rPr>
            </w:pPr>
          </w:p>
          <w:p w14:paraId="4FA62B0B">
            <w:pPr>
              <w:spacing w:line="261" w:lineRule="auto"/>
              <w:rPr>
                <w:rFonts w:ascii="Arial"/>
                <w:sz w:val="21"/>
              </w:rPr>
            </w:pPr>
          </w:p>
          <w:p w14:paraId="580BF693">
            <w:pPr>
              <w:spacing w:line="261" w:lineRule="auto"/>
              <w:rPr>
                <w:rFonts w:ascii="Arial"/>
                <w:sz w:val="21"/>
              </w:rPr>
            </w:pPr>
          </w:p>
          <w:p w14:paraId="03E73B81">
            <w:pPr>
              <w:spacing w:line="261" w:lineRule="auto"/>
              <w:rPr>
                <w:rFonts w:ascii="Arial"/>
                <w:sz w:val="21"/>
              </w:rPr>
            </w:pPr>
          </w:p>
          <w:p w14:paraId="68396370">
            <w:pPr>
              <w:spacing w:line="261" w:lineRule="auto"/>
              <w:rPr>
                <w:rFonts w:ascii="Arial"/>
                <w:sz w:val="21"/>
              </w:rPr>
            </w:pPr>
          </w:p>
          <w:p w14:paraId="7E594234">
            <w:pPr>
              <w:spacing w:line="261" w:lineRule="auto"/>
              <w:rPr>
                <w:rFonts w:ascii="Arial"/>
                <w:sz w:val="21"/>
              </w:rPr>
            </w:pPr>
          </w:p>
          <w:p w14:paraId="64AAFCA9">
            <w:pPr>
              <w:spacing w:line="261" w:lineRule="auto"/>
              <w:rPr>
                <w:rFonts w:ascii="Arial"/>
                <w:sz w:val="21"/>
              </w:rPr>
            </w:pPr>
          </w:p>
          <w:p w14:paraId="0780CA2A">
            <w:pPr>
              <w:spacing w:line="261" w:lineRule="auto"/>
              <w:rPr>
                <w:rFonts w:ascii="Arial"/>
                <w:sz w:val="21"/>
              </w:rPr>
            </w:pPr>
          </w:p>
          <w:p w14:paraId="0D0A1551">
            <w:pPr>
              <w:pStyle w:val="7"/>
              <w:spacing w:before="75" w:line="308" w:lineRule="exact"/>
              <w:ind w:left="269"/>
            </w:pPr>
            <w:r>
              <w:rPr>
                <w:position w:val="1"/>
              </w:rPr>
              <w:t>7</w:t>
            </w:r>
          </w:p>
        </w:tc>
        <w:tc>
          <w:tcPr>
            <w:tcW w:w="1796" w:type="dxa"/>
            <w:vAlign w:val="top"/>
          </w:tcPr>
          <w:p w14:paraId="374C5639">
            <w:pPr>
              <w:spacing w:line="260" w:lineRule="auto"/>
              <w:rPr>
                <w:rFonts w:ascii="Arial"/>
                <w:sz w:val="21"/>
              </w:rPr>
            </w:pPr>
          </w:p>
          <w:p w14:paraId="70224CC4">
            <w:pPr>
              <w:spacing w:line="260" w:lineRule="auto"/>
              <w:rPr>
                <w:rFonts w:ascii="Arial"/>
                <w:sz w:val="21"/>
              </w:rPr>
            </w:pPr>
          </w:p>
          <w:p w14:paraId="0BC5EBB5">
            <w:pPr>
              <w:spacing w:line="260" w:lineRule="auto"/>
              <w:rPr>
                <w:rFonts w:ascii="Arial"/>
                <w:sz w:val="21"/>
              </w:rPr>
            </w:pPr>
          </w:p>
          <w:p w14:paraId="04D4F3BA">
            <w:pPr>
              <w:spacing w:line="261" w:lineRule="auto"/>
              <w:rPr>
                <w:rFonts w:ascii="Arial"/>
                <w:sz w:val="21"/>
              </w:rPr>
            </w:pPr>
          </w:p>
          <w:p w14:paraId="7E5D2F8B">
            <w:pPr>
              <w:spacing w:line="261" w:lineRule="auto"/>
              <w:rPr>
                <w:rFonts w:ascii="Arial"/>
                <w:sz w:val="21"/>
              </w:rPr>
            </w:pPr>
          </w:p>
          <w:p w14:paraId="0C97089A">
            <w:pPr>
              <w:spacing w:line="261" w:lineRule="auto"/>
              <w:rPr>
                <w:rFonts w:ascii="Arial"/>
                <w:sz w:val="21"/>
              </w:rPr>
            </w:pPr>
          </w:p>
          <w:p w14:paraId="2A8F28E9">
            <w:pPr>
              <w:spacing w:line="261" w:lineRule="auto"/>
              <w:rPr>
                <w:rFonts w:ascii="Arial"/>
                <w:sz w:val="21"/>
              </w:rPr>
            </w:pPr>
          </w:p>
          <w:p w14:paraId="37A002DB">
            <w:pPr>
              <w:spacing w:line="261" w:lineRule="auto"/>
              <w:rPr>
                <w:rFonts w:ascii="Arial"/>
                <w:sz w:val="21"/>
              </w:rPr>
            </w:pPr>
          </w:p>
          <w:p w14:paraId="1A51AE2A">
            <w:pPr>
              <w:spacing w:line="261" w:lineRule="auto"/>
              <w:rPr>
                <w:rFonts w:ascii="Arial"/>
                <w:sz w:val="21"/>
              </w:rPr>
            </w:pPr>
          </w:p>
          <w:p w14:paraId="08AC2CA1">
            <w:pPr>
              <w:spacing w:line="261" w:lineRule="auto"/>
              <w:rPr>
                <w:rFonts w:ascii="Arial"/>
                <w:sz w:val="21"/>
              </w:rPr>
            </w:pPr>
          </w:p>
          <w:p w14:paraId="3CB65DFD">
            <w:pPr>
              <w:pStyle w:val="7"/>
              <w:spacing w:before="75" w:line="226" w:lineRule="auto"/>
              <w:ind w:left="133"/>
            </w:pPr>
            <w:r>
              <w:rPr>
                <w:spacing w:val="6"/>
              </w:rPr>
              <w:t>履约评价</w:t>
            </w:r>
          </w:p>
        </w:tc>
        <w:tc>
          <w:tcPr>
            <w:tcW w:w="4851" w:type="dxa"/>
            <w:vAlign w:val="top"/>
          </w:tcPr>
          <w:p w14:paraId="46320FD8">
            <w:pPr>
              <w:pStyle w:val="7"/>
              <w:spacing w:before="180" w:line="227" w:lineRule="auto"/>
              <w:ind w:left="171"/>
            </w:pPr>
            <w:r>
              <w:rPr>
                <w:spacing w:val="6"/>
              </w:rPr>
              <w:t>自2023年1月1日以来（以合同签订时间为</w:t>
            </w:r>
          </w:p>
          <w:p w14:paraId="64971D7C">
            <w:pPr>
              <w:pStyle w:val="7"/>
              <w:spacing w:before="75" w:line="289" w:lineRule="auto"/>
              <w:ind w:left="133" w:right="161"/>
            </w:pPr>
            <w:r>
              <w:rPr>
                <w:spacing w:val="9"/>
              </w:rPr>
              <w:t>准</w:t>
            </w:r>
            <w:r>
              <w:rPr>
                <w:spacing w:val="10"/>
              </w:rPr>
              <w:t>），</w:t>
            </w:r>
            <w:r>
              <w:rPr>
                <w:spacing w:val="9"/>
              </w:rPr>
              <w:t>供应商在承接的类似项目中，所获用户评价或履约满意度为优秀（含好评、满意</w:t>
            </w:r>
            <w:r>
              <w:rPr>
                <w:spacing w:val="5"/>
              </w:rPr>
              <w:t>等同等评价）的，每份得3分，最高得3分，</w:t>
            </w:r>
            <w:r>
              <w:rPr>
                <w:spacing w:val="3"/>
              </w:rPr>
              <w:t>其他情况不得分。</w:t>
            </w:r>
          </w:p>
          <w:p w14:paraId="5F818869">
            <w:pPr>
              <w:pStyle w:val="7"/>
              <w:spacing w:before="1" w:line="288" w:lineRule="auto"/>
              <w:ind w:left="135" w:right="171" w:firstLine="8"/>
            </w:pPr>
            <w:r>
              <w:rPr>
                <w:spacing w:val="8"/>
              </w:rPr>
              <w:t>（需提供完整清晰的合同扫描件及用户评价</w:t>
            </w:r>
            <w:r>
              <w:rPr>
                <w:spacing w:val="9"/>
              </w:rPr>
              <w:t>或履约满意度证明材料，并加盖供应商公</w:t>
            </w:r>
          </w:p>
          <w:p w14:paraId="6A5C127C">
            <w:pPr>
              <w:pStyle w:val="7"/>
              <w:spacing w:before="6" w:line="288" w:lineRule="auto"/>
              <w:ind w:left="131" w:right="161" w:firstLine="9"/>
            </w:pPr>
            <w:r>
              <w:rPr>
                <w:spacing w:val="8"/>
              </w:rPr>
              <w:t>章。合同扫描件须载明甲方名称、合同内容</w:t>
            </w:r>
            <w:r>
              <w:rPr>
                <w:spacing w:val="9"/>
              </w:rPr>
              <w:t>及签署日期等信息；用户评价或履约满意度证明材料中的项目信息应与对应合同内容一致，且须体现评价单位名称并加盖评价单位公章确认，评价单位应与签订合同的甲方单位一致。未提供或未按要求提供材料的，本项不予计分。所提供的合同可与上述“业</w:t>
            </w:r>
          </w:p>
          <w:p w14:paraId="0B91006F">
            <w:pPr>
              <w:pStyle w:val="7"/>
              <w:spacing w:before="1" w:line="227" w:lineRule="auto"/>
              <w:ind w:left="136"/>
            </w:pPr>
            <w:r>
              <w:rPr>
                <w:spacing w:val="4"/>
              </w:rPr>
              <w:t>绩”重复。）</w:t>
            </w:r>
          </w:p>
        </w:tc>
        <w:tc>
          <w:tcPr>
            <w:tcW w:w="1078" w:type="dxa"/>
            <w:vAlign w:val="top"/>
          </w:tcPr>
          <w:p w14:paraId="30357AFB">
            <w:pPr>
              <w:spacing w:line="260" w:lineRule="auto"/>
              <w:rPr>
                <w:rFonts w:ascii="Arial"/>
                <w:sz w:val="21"/>
              </w:rPr>
            </w:pPr>
          </w:p>
          <w:p w14:paraId="4074FBE0">
            <w:pPr>
              <w:spacing w:line="260" w:lineRule="auto"/>
              <w:rPr>
                <w:rFonts w:ascii="Arial"/>
                <w:sz w:val="21"/>
              </w:rPr>
            </w:pPr>
          </w:p>
          <w:p w14:paraId="360D6126">
            <w:pPr>
              <w:spacing w:line="260" w:lineRule="auto"/>
              <w:rPr>
                <w:rFonts w:ascii="Arial"/>
                <w:sz w:val="21"/>
              </w:rPr>
            </w:pPr>
          </w:p>
          <w:p w14:paraId="1911DA7F">
            <w:pPr>
              <w:spacing w:line="261" w:lineRule="auto"/>
              <w:rPr>
                <w:rFonts w:ascii="Arial"/>
                <w:sz w:val="21"/>
              </w:rPr>
            </w:pPr>
          </w:p>
          <w:p w14:paraId="6BFAE22F">
            <w:pPr>
              <w:spacing w:line="261" w:lineRule="auto"/>
              <w:rPr>
                <w:rFonts w:ascii="Arial"/>
                <w:sz w:val="21"/>
              </w:rPr>
            </w:pPr>
          </w:p>
          <w:p w14:paraId="6C04D3A4">
            <w:pPr>
              <w:spacing w:line="261" w:lineRule="auto"/>
              <w:rPr>
                <w:rFonts w:ascii="Arial"/>
                <w:sz w:val="21"/>
              </w:rPr>
            </w:pPr>
          </w:p>
          <w:p w14:paraId="2B006A6F">
            <w:pPr>
              <w:spacing w:line="261" w:lineRule="auto"/>
              <w:rPr>
                <w:rFonts w:ascii="Arial"/>
                <w:sz w:val="21"/>
              </w:rPr>
            </w:pPr>
          </w:p>
          <w:p w14:paraId="4DF5AA1D">
            <w:pPr>
              <w:spacing w:line="261" w:lineRule="auto"/>
              <w:rPr>
                <w:rFonts w:ascii="Arial"/>
                <w:sz w:val="21"/>
              </w:rPr>
            </w:pPr>
          </w:p>
          <w:p w14:paraId="321D7D2B">
            <w:pPr>
              <w:spacing w:line="261" w:lineRule="auto"/>
              <w:rPr>
                <w:rFonts w:ascii="Arial"/>
                <w:sz w:val="21"/>
              </w:rPr>
            </w:pPr>
          </w:p>
          <w:p w14:paraId="6E14221E">
            <w:pPr>
              <w:spacing w:line="261" w:lineRule="auto"/>
              <w:rPr>
                <w:rFonts w:ascii="Arial"/>
                <w:sz w:val="21"/>
              </w:rPr>
            </w:pPr>
          </w:p>
          <w:p w14:paraId="1A4F50B3">
            <w:pPr>
              <w:pStyle w:val="7"/>
              <w:spacing w:before="75" w:line="228" w:lineRule="auto"/>
              <w:ind w:left="191"/>
            </w:pPr>
            <w:r>
              <w:rPr>
                <w:spacing w:val="6"/>
              </w:rPr>
              <w:t>客观分</w:t>
            </w:r>
          </w:p>
        </w:tc>
        <w:tc>
          <w:tcPr>
            <w:tcW w:w="636" w:type="dxa"/>
            <w:vAlign w:val="top"/>
          </w:tcPr>
          <w:p w14:paraId="3D95A3F8">
            <w:pPr>
              <w:spacing w:line="260" w:lineRule="auto"/>
              <w:rPr>
                <w:rFonts w:ascii="Arial"/>
                <w:sz w:val="21"/>
              </w:rPr>
            </w:pPr>
          </w:p>
          <w:p w14:paraId="7EEE9F79">
            <w:pPr>
              <w:spacing w:line="260" w:lineRule="auto"/>
              <w:rPr>
                <w:rFonts w:ascii="Arial"/>
                <w:sz w:val="21"/>
              </w:rPr>
            </w:pPr>
          </w:p>
          <w:p w14:paraId="3F7A1A76">
            <w:pPr>
              <w:spacing w:line="260" w:lineRule="auto"/>
              <w:rPr>
                <w:rFonts w:ascii="Arial"/>
                <w:sz w:val="21"/>
              </w:rPr>
            </w:pPr>
          </w:p>
          <w:p w14:paraId="74570820">
            <w:pPr>
              <w:spacing w:line="261" w:lineRule="auto"/>
              <w:rPr>
                <w:rFonts w:ascii="Arial"/>
                <w:sz w:val="21"/>
              </w:rPr>
            </w:pPr>
          </w:p>
          <w:p w14:paraId="589B8074">
            <w:pPr>
              <w:spacing w:line="261" w:lineRule="auto"/>
              <w:rPr>
                <w:rFonts w:ascii="Arial"/>
                <w:sz w:val="21"/>
              </w:rPr>
            </w:pPr>
          </w:p>
          <w:p w14:paraId="05A93631">
            <w:pPr>
              <w:spacing w:line="261" w:lineRule="auto"/>
              <w:rPr>
                <w:rFonts w:ascii="Arial"/>
                <w:sz w:val="21"/>
              </w:rPr>
            </w:pPr>
          </w:p>
          <w:p w14:paraId="2CD2AE15">
            <w:pPr>
              <w:spacing w:line="261" w:lineRule="auto"/>
              <w:rPr>
                <w:rFonts w:ascii="Arial"/>
                <w:sz w:val="21"/>
              </w:rPr>
            </w:pPr>
          </w:p>
          <w:p w14:paraId="34A4659D">
            <w:pPr>
              <w:spacing w:line="261" w:lineRule="auto"/>
              <w:rPr>
                <w:rFonts w:ascii="Arial"/>
                <w:sz w:val="21"/>
              </w:rPr>
            </w:pPr>
          </w:p>
          <w:p w14:paraId="12DBAE49">
            <w:pPr>
              <w:spacing w:line="261" w:lineRule="auto"/>
              <w:rPr>
                <w:rFonts w:ascii="Arial"/>
                <w:sz w:val="21"/>
              </w:rPr>
            </w:pPr>
          </w:p>
          <w:p w14:paraId="73A89857">
            <w:pPr>
              <w:spacing w:line="261" w:lineRule="auto"/>
              <w:rPr>
                <w:rFonts w:ascii="Arial"/>
                <w:sz w:val="21"/>
              </w:rPr>
            </w:pPr>
          </w:p>
          <w:p w14:paraId="048C3BC9">
            <w:pPr>
              <w:pStyle w:val="7"/>
              <w:spacing w:before="75" w:line="308" w:lineRule="exact"/>
              <w:ind w:left="270"/>
            </w:pPr>
            <w:r>
              <w:rPr>
                <w:position w:val="1"/>
              </w:rPr>
              <w:t>3</w:t>
            </w:r>
          </w:p>
        </w:tc>
      </w:tr>
      <w:tr w14:paraId="33702BFF">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4793" w:hRule="atLeast"/>
        </w:trPr>
        <w:tc>
          <w:tcPr>
            <w:tcW w:w="636" w:type="dxa"/>
            <w:tcBorders>
              <w:bottom w:val="nil"/>
            </w:tcBorders>
            <w:vAlign w:val="top"/>
          </w:tcPr>
          <w:p w14:paraId="21894BE4">
            <w:pPr>
              <w:pStyle w:val="7"/>
              <w:spacing w:before="180" w:line="309" w:lineRule="exact"/>
              <w:ind w:left="264"/>
            </w:pPr>
            <w:r>
              <w:rPr>
                <w:position w:val="1"/>
              </w:rPr>
              <w:t>8</w:t>
            </w:r>
          </w:p>
        </w:tc>
        <w:tc>
          <w:tcPr>
            <w:tcW w:w="1796" w:type="dxa"/>
            <w:tcBorders>
              <w:bottom w:val="nil"/>
            </w:tcBorders>
            <w:vAlign w:val="top"/>
          </w:tcPr>
          <w:p w14:paraId="4153A01B">
            <w:pPr>
              <w:pStyle w:val="7"/>
              <w:spacing w:before="180" w:line="228" w:lineRule="auto"/>
              <w:ind w:left="133"/>
            </w:pPr>
            <w:r>
              <w:rPr>
                <w:spacing w:val="7"/>
              </w:rPr>
              <w:t>项目组人员</w:t>
            </w:r>
          </w:p>
        </w:tc>
        <w:tc>
          <w:tcPr>
            <w:tcW w:w="4851" w:type="dxa"/>
            <w:tcBorders>
              <w:bottom w:val="nil"/>
            </w:tcBorders>
            <w:vAlign w:val="top"/>
          </w:tcPr>
          <w:p w14:paraId="603B7256">
            <w:pPr>
              <w:pStyle w:val="7"/>
              <w:spacing w:before="180" w:line="289" w:lineRule="auto"/>
              <w:ind w:left="143" w:right="401" w:hanging="11"/>
            </w:pPr>
            <w:r>
              <w:rPr>
                <w:spacing w:val="9"/>
              </w:rPr>
              <w:t>根据为本项目配备的项目组人员综合打分</w:t>
            </w:r>
            <w:r>
              <w:rPr>
                <w:spacing w:val="3"/>
              </w:rPr>
              <w:t>（同一人员不重复计分）：</w:t>
            </w:r>
          </w:p>
          <w:p w14:paraId="054AAECF">
            <w:pPr>
              <w:pStyle w:val="7"/>
              <w:spacing w:before="1" w:line="288" w:lineRule="auto"/>
              <w:ind w:left="135" w:right="281" w:firstLine="14"/>
            </w:pPr>
            <w:r>
              <w:rPr>
                <w:spacing w:val="7"/>
              </w:rPr>
              <w:t>1.项目负责人具有本科及以上学历的，得2</w:t>
            </w:r>
            <w:r>
              <w:rPr>
                <w:spacing w:val="-14"/>
              </w:rPr>
              <w:t>分；</w:t>
            </w:r>
          </w:p>
          <w:p w14:paraId="68E11273">
            <w:pPr>
              <w:pStyle w:val="7"/>
              <w:spacing w:before="1" w:line="288" w:lineRule="auto"/>
              <w:ind w:left="151" w:right="281" w:hanging="16"/>
            </w:pPr>
            <w:r>
              <w:rPr>
                <w:spacing w:val="8"/>
              </w:rPr>
              <w:t>2.项目负责人具有3年及以上项目实施经验</w:t>
            </w:r>
            <w:r>
              <w:rPr>
                <w:spacing w:val="-5"/>
              </w:rPr>
              <w:t>的，得2分；</w:t>
            </w:r>
          </w:p>
          <w:p w14:paraId="1BC9A6B8">
            <w:pPr>
              <w:pStyle w:val="7"/>
              <w:spacing w:before="1" w:line="288" w:lineRule="auto"/>
              <w:ind w:left="134" w:right="161" w:firstLine="2"/>
            </w:pPr>
            <w:r>
              <w:rPr>
                <w:spacing w:val="8"/>
              </w:rPr>
              <w:t>3.团队人员（含项目负责人）具有中级及以上职称的，每有一人得2分，本项最高得6</w:t>
            </w:r>
          </w:p>
          <w:p w14:paraId="63AEC0F2">
            <w:pPr>
              <w:pStyle w:val="7"/>
              <w:spacing w:before="1" w:line="227" w:lineRule="auto"/>
              <w:ind w:left="135"/>
            </w:pPr>
            <w:r>
              <w:rPr>
                <w:spacing w:val="-9"/>
              </w:rPr>
              <w:t>分。</w:t>
            </w:r>
          </w:p>
          <w:p w14:paraId="3E34DD23">
            <w:pPr>
              <w:pStyle w:val="7"/>
              <w:spacing w:before="75" w:line="274" w:lineRule="auto"/>
              <w:ind w:left="132" w:right="161"/>
              <w:jc w:val="both"/>
            </w:pPr>
            <w:r>
              <w:rPr>
                <w:spacing w:val="9"/>
              </w:rPr>
              <w:t>提供个人简历（需加盖供应商盖章</w:t>
            </w:r>
            <w:r>
              <w:rPr>
                <w:spacing w:val="10"/>
              </w:rPr>
              <w:t>），</w:t>
            </w:r>
            <w:r>
              <w:rPr>
                <w:spacing w:val="9"/>
              </w:rPr>
              <w:t>职称</w:t>
            </w:r>
            <w:r>
              <w:rPr>
                <w:spacing w:val="6"/>
              </w:rPr>
              <w:t>证书扫描件。项目组人员缴纳的社保证明，</w:t>
            </w:r>
            <w:r>
              <w:rPr>
                <w:spacing w:val="8"/>
              </w:rPr>
              <w:t>社保机构出具的2026年以来任意一个月供应</w:t>
            </w:r>
            <w:r>
              <w:rPr>
                <w:spacing w:val="9"/>
              </w:rPr>
              <w:t>商为其缴纳的养老保险缴费证明材料，并加</w:t>
            </w:r>
          </w:p>
        </w:tc>
        <w:tc>
          <w:tcPr>
            <w:tcW w:w="1078" w:type="dxa"/>
            <w:tcBorders>
              <w:bottom w:val="nil"/>
            </w:tcBorders>
            <w:vAlign w:val="top"/>
          </w:tcPr>
          <w:p w14:paraId="679DAD10">
            <w:pPr>
              <w:pStyle w:val="7"/>
              <w:spacing w:before="180" w:line="228" w:lineRule="auto"/>
              <w:ind w:left="191"/>
            </w:pPr>
            <w:r>
              <w:rPr>
                <w:spacing w:val="6"/>
              </w:rPr>
              <w:t>客观分</w:t>
            </w:r>
          </w:p>
        </w:tc>
        <w:tc>
          <w:tcPr>
            <w:tcW w:w="636" w:type="dxa"/>
            <w:tcBorders>
              <w:bottom w:val="nil"/>
            </w:tcBorders>
            <w:vAlign w:val="top"/>
          </w:tcPr>
          <w:p w14:paraId="33E4A36D">
            <w:pPr>
              <w:pStyle w:val="7"/>
              <w:spacing w:before="180" w:line="309" w:lineRule="exact"/>
              <w:ind w:left="223"/>
            </w:pPr>
            <w:r>
              <w:rPr>
                <w:spacing w:val="-5"/>
                <w:position w:val="1"/>
              </w:rPr>
              <w:t>10</w:t>
            </w:r>
          </w:p>
        </w:tc>
      </w:tr>
    </w:tbl>
    <w:p w14:paraId="151DC1A6">
      <w:pPr>
        <w:pStyle w:val="3"/>
      </w:pPr>
    </w:p>
    <w:p w14:paraId="6631D0CE">
      <w:pPr>
        <w:sectPr>
          <w:headerReference r:id="rId18" w:type="default"/>
          <w:footerReference r:id="rId19" w:type="default"/>
          <w:pgSz w:w="11900" w:h="16839"/>
          <w:pgMar w:top="518" w:right="0" w:bottom="429" w:left="839" w:header="241" w:footer="145" w:gutter="0"/>
          <w:cols w:space="720" w:num="1"/>
        </w:sectPr>
      </w:pPr>
    </w:p>
    <w:p w14:paraId="65426E58">
      <w:pPr>
        <w:spacing w:before="79"/>
      </w:pPr>
    </w:p>
    <w:tbl>
      <w:tblPr>
        <w:tblStyle w:val="6"/>
        <w:tblW w:w="8997" w:type="dxa"/>
        <w:tblInd w:w="603"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1796"/>
        <w:gridCol w:w="4851"/>
        <w:gridCol w:w="1078"/>
        <w:gridCol w:w="636"/>
      </w:tblGrid>
      <w:tr w14:paraId="7723520D">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3362" w:hRule="atLeast"/>
        </w:trPr>
        <w:tc>
          <w:tcPr>
            <w:tcW w:w="636" w:type="dxa"/>
            <w:tcBorders>
              <w:top w:val="nil"/>
            </w:tcBorders>
            <w:vAlign w:val="top"/>
          </w:tcPr>
          <w:p w14:paraId="44758363">
            <w:pPr>
              <w:rPr>
                <w:rFonts w:ascii="Arial"/>
                <w:sz w:val="21"/>
              </w:rPr>
            </w:pPr>
          </w:p>
        </w:tc>
        <w:tc>
          <w:tcPr>
            <w:tcW w:w="1796" w:type="dxa"/>
            <w:tcBorders>
              <w:top w:val="nil"/>
            </w:tcBorders>
            <w:vAlign w:val="top"/>
          </w:tcPr>
          <w:p w14:paraId="086E5A5D">
            <w:pPr>
              <w:rPr>
                <w:rFonts w:ascii="Arial"/>
                <w:sz w:val="21"/>
              </w:rPr>
            </w:pPr>
          </w:p>
        </w:tc>
        <w:tc>
          <w:tcPr>
            <w:tcW w:w="4851" w:type="dxa"/>
            <w:tcBorders>
              <w:top w:val="nil"/>
            </w:tcBorders>
            <w:vAlign w:val="top"/>
          </w:tcPr>
          <w:p w14:paraId="21FCA53D">
            <w:pPr>
              <w:pStyle w:val="7"/>
              <w:spacing w:before="61" w:line="289" w:lineRule="auto"/>
              <w:ind w:left="131" w:right="161" w:firstLine="1"/>
              <w:jc w:val="both"/>
            </w:pPr>
            <w:r>
              <w:rPr>
                <w:spacing w:val="9"/>
              </w:rPr>
              <w:t>盖社保中心章或社保中心参保缴费证明电子专用章。未能提供社保证明不得分。若属事业编制人员、现役军人等客观原因无法提供养老保险金缴费证明，必须出具相关证明材料，否则一律按未提供养老保险金缴费证明</w:t>
            </w:r>
            <w:r>
              <w:t>材料处理。</w:t>
            </w:r>
          </w:p>
          <w:p w14:paraId="427B845D">
            <w:pPr>
              <w:pStyle w:val="7"/>
              <w:spacing w:before="3" w:line="289" w:lineRule="auto"/>
              <w:ind w:left="135" w:right="161" w:hanging="1"/>
              <w:jc w:val="both"/>
            </w:pPr>
            <w:r>
              <w:rPr>
                <w:spacing w:val="6"/>
              </w:rPr>
              <w:t>上述相关证明材料须扫描后编入响应文件，</w:t>
            </w:r>
            <w:r>
              <w:rPr>
                <w:spacing w:val="9"/>
              </w:rPr>
              <w:t>并加盖供应商公章；未按此要求提供的，相</w:t>
            </w:r>
            <w:r>
              <w:rPr>
                <w:spacing w:val="3"/>
              </w:rPr>
              <w:t>关项目不予计分。</w:t>
            </w:r>
          </w:p>
        </w:tc>
        <w:tc>
          <w:tcPr>
            <w:tcW w:w="1078" w:type="dxa"/>
            <w:tcBorders>
              <w:top w:val="nil"/>
            </w:tcBorders>
            <w:vAlign w:val="top"/>
          </w:tcPr>
          <w:p w14:paraId="2289BA0F">
            <w:pPr>
              <w:rPr>
                <w:rFonts w:ascii="Arial"/>
                <w:sz w:val="21"/>
              </w:rPr>
            </w:pPr>
          </w:p>
        </w:tc>
        <w:tc>
          <w:tcPr>
            <w:tcW w:w="636" w:type="dxa"/>
            <w:tcBorders>
              <w:top w:val="nil"/>
            </w:tcBorders>
            <w:vAlign w:val="top"/>
          </w:tcPr>
          <w:p w14:paraId="56CFEE73">
            <w:pPr>
              <w:rPr>
                <w:rFonts w:ascii="Arial"/>
                <w:sz w:val="21"/>
              </w:rPr>
            </w:pPr>
          </w:p>
        </w:tc>
      </w:tr>
    </w:tbl>
    <w:p w14:paraId="6EC08CF4">
      <w:pPr>
        <w:spacing w:before="197" w:line="235" w:lineRule="exact"/>
        <w:ind w:left="600"/>
        <w:outlineLvl w:val="2"/>
        <w:rPr>
          <w:rFonts w:ascii="微软雅黑" w:hAnsi="微软雅黑" w:eastAsia="微软雅黑" w:cs="微软雅黑"/>
          <w:sz w:val="23"/>
          <w:szCs w:val="23"/>
        </w:rPr>
      </w:pPr>
      <w:r>
        <w:rPr>
          <w:rFonts w:ascii="微软雅黑" w:hAnsi="微软雅黑" w:eastAsia="微软雅黑" w:cs="微软雅黑"/>
          <w:spacing w:val="6"/>
          <w:position w:val="-1"/>
          <w:sz w:val="23"/>
          <w:szCs w:val="23"/>
        </w:rPr>
        <w:t>七、</w:t>
      </w:r>
      <w:r>
        <w:rPr>
          <w:rFonts w:ascii="微软雅黑" w:hAnsi="微软雅黑" w:eastAsia="微软雅黑" w:cs="微软雅黑"/>
          <w:spacing w:val="-43"/>
          <w:position w:val="-1"/>
          <w:sz w:val="23"/>
          <w:szCs w:val="23"/>
        </w:rPr>
        <w:t xml:space="preserve"> </w:t>
      </w:r>
      <w:r>
        <w:rPr>
          <w:rFonts w:ascii="微软雅黑" w:hAnsi="微软雅黑" w:eastAsia="微软雅黑" w:cs="微软雅黑"/>
          <w:spacing w:val="6"/>
          <w:position w:val="-1"/>
          <w:sz w:val="23"/>
          <w:szCs w:val="23"/>
        </w:rPr>
        <w:t>评审依据</w:t>
      </w:r>
    </w:p>
    <w:p w14:paraId="4F701F9E">
      <w:pPr>
        <w:spacing w:before="156" w:line="312" w:lineRule="auto"/>
        <w:ind w:left="609" w:right="1585" w:firstLine="479"/>
        <w:rPr>
          <w:rFonts w:ascii="宋体" w:hAnsi="宋体" w:eastAsia="宋体" w:cs="宋体"/>
          <w:sz w:val="23"/>
          <w:szCs w:val="23"/>
        </w:rPr>
      </w:pPr>
      <w:r>
        <w:rPr>
          <w:rFonts w:ascii="宋体" w:hAnsi="宋体" w:eastAsia="宋体" w:cs="宋体"/>
          <w:spacing w:val="9"/>
          <w:sz w:val="23"/>
          <w:szCs w:val="23"/>
        </w:rPr>
        <w:t>评审的依据为比选文件和响应文件（含有效的补充文件）。评审小组判断响应文</w:t>
      </w:r>
      <w:r>
        <w:rPr>
          <w:rFonts w:ascii="宋体" w:hAnsi="宋体" w:eastAsia="宋体" w:cs="宋体"/>
          <w:spacing w:val="8"/>
          <w:sz w:val="23"/>
          <w:szCs w:val="23"/>
        </w:rPr>
        <w:t>件对比选文件的响应，仅基于响应文件本身而不靠外部证据。</w:t>
      </w:r>
    </w:p>
    <w:p w14:paraId="740CBFFD">
      <w:pPr>
        <w:spacing w:line="232" w:lineRule="exact"/>
        <w:ind w:left="612"/>
        <w:outlineLvl w:val="2"/>
        <w:rPr>
          <w:rFonts w:ascii="微软雅黑" w:hAnsi="微软雅黑" w:eastAsia="微软雅黑" w:cs="微软雅黑"/>
          <w:sz w:val="23"/>
          <w:szCs w:val="23"/>
        </w:rPr>
      </w:pPr>
      <w:r>
        <w:rPr>
          <w:rFonts w:ascii="微软雅黑" w:hAnsi="微软雅黑" w:eastAsia="微软雅黑" w:cs="微软雅黑"/>
          <w:spacing w:val="6"/>
          <w:position w:val="-1"/>
          <w:sz w:val="23"/>
          <w:szCs w:val="23"/>
        </w:rPr>
        <w:t>八、成交通知</w:t>
      </w:r>
    </w:p>
    <w:p w14:paraId="7AC9C5A3">
      <w:pPr>
        <w:spacing w:before="158" w:line="313" w:lineRule="auto"/>
        <w:ind w:left="615" w:right="1475" w:firstLine="486"/>
        <w:rPr>
          <w:rFonts w:ascii="宋体" w:hAnsi="宋体" w:eastAsia="宋体" w:cs="宋体"/>
          <w:sz w:val="23"/>
          <w:szCs w:val="23"/>
        </w:rPr>
      </w:pPr>
      <w:r>
        <w:rPr>
          <w:rFonts w:ascii="宋体" w:hAnsi="宋体" w:eastAsia="宋体" w:cs="宋体"/>
          <w:spacing w:val="9"/>
          <w:sz w:val="23"/>
          <w:szCs w:val="23"/>
        </w:rPr>
        <w:t>（一）自成交供应商确定之日起2个工作日内，发出成交通知</w:t>
      </w:r>
      <w:r>
        <w:rPr>
          <w:rFonts w:ascii="宋体" w:hAnsi="宋体" w:eastAsia="宋体" w:cs="宋体"/>
          <w:spacing w:val="8"/>
          <w:sz w:val="23"/>
          <w:szCs w:val="23"/>
        </w:rPr>
        <w:t>书，并在服务类网上</w:t>
      </w:r>
      <w:r>
        <w:rPr>
          <w:rFonts w:ascii="宋体" w:hAnsi="宋体" w:eastAsia="宋体" w:cs="宋体"/>
          <w:spacing w:val="3"/>
          <w:sz w:val="23"/>
          <w:szCs w:val="23"/>
        </w:rPr>
        <w:t>商城公告成交结果。</w:t>
      </w:r>
    </w:p>
    <w:p w14:paraId="32A9F0D4">
      <w:pPr>
        <w:spacing w:before="1" w:line="311" w:lineRule="auto"/>
        <w:ind w:left="610" w:right="1595" w:firstLine="490"/>
        <w:rPr>
          <w:rFonts w:ascii="宋体" w:hAnsi="宋体" w:eastAsia="宋体" w:cs="宋体"/>
          <w:sz w:val="23"/>
          <w:szCs w:val="23"/>
        </w:rPr>
      </w:pPr>
      <w:r>
        <w:rPr>
          <w:rFonts w:ascii="宋体" w:hAnsi="宋体" w:eastAsia="宋体" w:cs="宋体"/>
          <w:spacing w:val="9"/>
          <w:sz w:val="23"/>
          <w:szCs w:val="23"/>
        </w:rPr>
        <w:t>（二）结果公告发出同时，采购人将以短信以及平台系统页面的形式</w:t>
      </w:r>
      <w:r>
        <w:rPr>
          <w:rFonts w:ascii="宋体" w:hAnsi="宋体" w:eastAsia="宋体" w:cs="宋体"/>
          <w:spacing w:val="8"/>
          <w:sz w:val="23"/>
          <w:szCs w:val="23"/>
        </w:rPr>
        <w:t>发出《成交</w:t>
      </w:r>
      <w:r>
        <w:rPr>
          <w:rFonts w:ascii="宋体" w:hAnsi="宋体" w:eastAsia="宋体" w:cs="宋体"/>
          <w:spacing w:val="-1"/>
          <w:sz w:val="23"/>
          <w:szCs w:val="23"/>
        </w:rPr>
        <w:t>通知书》。</w:t>
      </w:r>
    </w:p>
    <w:p w14:paraId="509E6FCB">
      <w:pPr>
        <w:spacing w:line="235" w:lineRule="exact"/>
        <w:ind w:left="614"/>
        <w:outlineLvl w:val="2"/>
        <w:rPr>
          <w:rFonts w:ascii="微软雅黑" w:hAnsi="微软雅黑" w:eastAsia="微软雅黑" w:cs="微软雅黑"/>
          <w:sz w:val="23"/>
          <w:szCs w:val="23"/>
        </w:rPr>
      </w:pPr>
      <w:r>
        <w:rPr>
          <w:rFonts w:ascii="微软雅黑" w:hAnsi="微软雅黑" w:eastAsia="微软雅黑" w:cs="微软雅黑"/>
          <w:spacing w:val="1"/>
          <w:position w:val="-1"/>
          <w:sz w:val="23"/>
          <w:szCs w:val="23"/>
        </w:rPr>
        <w:t>九、关于质疑、</w:t>
      </w:r>
      <w:r>
        <w:rPr>
          <w:rFonts w:ascii="微软雅黑" w:hAnsi="微软雅黑" w:eastAsia="微软雅黑" w:cs="微软雅黑"/>
          <w:spacing w:val="-19"/>
          <w:position w:val="-1"/>
          <w:sz w:val="23"/>
          <w:szCs w:val="23"/>
        </w:rPr>
        <w:t xml:space="preserve"> </w:t>
      </w:r>
      <w:r>
        <w:rPr>
          <w:rFonts w:ascii="微软雅黑" w:hAnsi="微软雅黑" w:eastAsia="微软雅黑" w:cs="微软雅黑"/>
          <w:spacing w:val="1"/>
          <w:position w:val="-1"/>
          <w:sz w:val="23"/>
          <w:szCs w:val="23"/>
        </w:rPr>
        <w:t>询问</w:t>
      </w:r>
    </w:p>
    <w:p w14:paraId="7B21014F">
      <w:pPr>
        <w:spacing w:before="158" w:line="226" w:lineRule="auto"/>
        <w:ind w:left="1101"/>
        <w:rPr>
          <w:rFonts w:ascii="宋体" w:hAnsi="宋体" w:eastAsia="宋体" w:cs="宋体"/>
          <w:sz w:val="23"/>
          <w:szCs w:val="23"/>
        </w:rPr>
      </w:pPr>
      <w:r>
        <w:rPr>
          <w:rFonts w:ascii="宋体" w:hAnsi="宋体" w:eastAsia="宋体" w:cs="宋体"/>
          <w:spacing w:val="8"/>
          <w:sz w:val="23"/>
          <w:szCs w:val="23"/>
        </w:rPr>
        <w:t>（一）询问、质疑处理原则。在服务商城实施采购活动中出现询问、质疑等问</w:t>
      </w:r>
    </w:p>
    <w:p w14:paraId="2F585170">
      <w:pPr>
        <w:spacing w:before="107" w:line="313" w:lineRule="auto"/>
        <w:ind w:left="612" w:right="1585" w:hanging="2"/>
        <w:rPr>
          <w:rFonts w:ascii="宋体" w:hAnsi="宋体" w:eastAsia="宋体" w:cs="宋体"/>
          <w:sz w:val="23"/>
          <w:szCs w:val="23"/>
        </w:rPr>
      </w:pPr>
      <w:r>
        <w:rPr>
          <w:rFonts w:ascii="宋体" w:hAnsi="宋体" w:eastAsia="宋体" w:cs="宋体"/>
          <w:spacing w:val="10"/>
          <w:sz w:val="23"/>
          <w:szCs w:val="23"/>
        </w:rPr>
        <w:t>题，按照谁采购谁负责、谁发起谁举证的原</w:t>
      </w:r>
      <w:r>
        <w:rPr>
          <w:rFonts w:ascii="宋体" w:hAnsi="宋体" w:eastAsia="宋体" w:cs="宋体"/>
          <w:spacing w:val="9"/>
          <w:sz w:val="23"/>
          <w:szCs w:val="23"/>
        </w:rPr>
        <w:t>则，由服务商城平台统一受理询问、质疑</w:t>
      </w:r>
      <w:r>
        <w:rPr>
          <w:rFonts w:ascii="宋体" w:hAnsi="宋体" w:eastAsia="宋体" w:cs="宋体"/>
          <w:spacing w:val="-6"/>
          <w:sz w:val="23"/>
          <w:szCs w:val="23"/>
        </w:rPr>
        <w:t>工作。</w:t>
      </w:r>
    </w:p>
    <w:p w14:paraId="5060F791">
      <w:pPr>
        <w:spacing w:before="2" w:line="312" w:lineRule="auto"/>
        <w:ind w:left="609" w:right="1593" w:firstLine="491"/>
        <w:rPr>
          <w:rFonts w:ascii="宋体" w:hAnsi="宋体" w:eastAsia="宋体" w:cs="宋体"/>
          <w:sz w:val="23"/>
          <w:szCs w:val="23"/>
        </w:rPr>
      </w:pPr>
      <w:r>
        <w:rPr>
          <w:rFonts w:ascii="宋体" w:hAnsi="宋体" w:eastAsia="宋体" w:cs="宋体"/>
          <w:spacing w:val="9"/>
          <w:sz w:val="23"/>
          <w:szCs w:val="23"/>
        </w:rPr>
        <w:t>（二）不涉及交易，相关行为违反服务商城管理规则的，由服务商城平台</w:t>
      </w:r>
      <w:r>
        <w:rPr>
          <w:rFonts w:ascii="宋体" w:hAnsi="宋体" w:eastAsia="宋体" w:cs="宋体"/>
          <w:spacing w:val="8"/>
          <w:sz w:val="23"/>
          <w:szCs w:val="23"/>
        </w:rPr>
        <w:t>负责解</w:t>
      </w:r>
      <w:r>
        <w:rPr>
          <w:rFonts w:ascii="宋体" w:hAnsi="宋体" w:eastAsia="宋体" w:cs="宋体"/>
          <w:spacing w:val="6"/>
          <w:sz w:val="23"/>
          <w:szCs w:val="23"/>
        </w:rPr>
        <w:t>释处理，并在7日内给予回复。</w:t>
      </w:r>
    </w:p>
    <w:p w14:paraId="5C3886BF">
      <w:pPr>
        <w:spacing w:before="3" w:line="312" w:lineRule="auto"/>
        <w:ind w:left="608" w:right="1585" w:firstLine="492"/>
        <w:rPr>
          <w:rFonts w:ascii="宋体" w:hAnsi="宋体" w:eastAsia="宋体" w:cs="宋体"/>
          <w:sz w:val="23"/>
          <w:szCs w:val="23"/>
        </w:rPr>
      </w:pPr>
      <w:r>
        <w:rPr>
          <w:rFonts w:ascii="宋体" w:hAnsi="宋体" w:eastAsia="宋体" w:cs="宋体"/>
          <w:spacing w:val="9"/>
          <w:sz w:val="23"/>
          <w:szCs w:val="23"/>
        </w:rPr>
        <w:t>（三）涉及交易，相关行为违反法律法规和有关规范性文件规定的</w:t>
      </w:r>
      <w:r>
        <w:rPr>
          <w:rFonts w:ascii="宋体" w:hAnsi="宋体" w:eastAsia="宋体" w:cs="宋体"/>
          <w:spacing w:val="8"/>
          <w:sz w:val="23"/>
          <w:szCs w:val="23"/>
        </w:rPr>
        <w:t>，由服务商城</w:t>
      </w:r>
      <w:r>
        <w:rPr>
          <w:rFonts w:ascii="宋体" w:hAnsi="宋体" w:eastAsia="宋体" w:cs="宋体"/>
          <w:spacing w:val="9"/>
          <w:sz w:val="23"/>
          <w:szCs w:val="23"/>
        </w:rPr>
        <w:t>平台报送采购人，由采购人依据相关法律规定处理，并在30日内给予供应商答复，并</w:t>
      </w:r>
      <w:r>
        <w:rPr>
          <w:rFonts w:ascii="宋体" w:hAnsi="宋体" w:eastAsia="宋体" w:cs="宋体"/>
          <w:spacing w:val="6"/>
          <w:sz w:val="23"/>
          <w:szCs w:val="23"/>
        </w:rPr>
        <w:t>将答复情况抄告服务商城平台。</w:t>
      </w:r>
    </w:p>
    <w:p w14:paraId="6D5C152E">
      <w:pPr>
        <w:spacing w:line="312" w:lineRule="auto"/>
        <w:ind w:left="621" w:right="1585" w:firstLine="479"/>
        <w:rPr>
          <w:rFonts w:ascii="宋体" w:hAnsi="宋体" w:eastAsia="宋体" w:cs="宋体"/>
          <w:sz w:val="23"/>
          <w:szCs w:val="23"/>
        </w:rPr>
      </w:pPr>
      <w:r>
        <w:rPr>
          <w:rFonts w:ascii="宋体" w:hAnsi="宋体" w:eastAsia="宋体" w:cs="宋体"/>
          <w:spacing w:val="9"/>
          <w:sz w:val="23"/>
          <w:szCs w:val="23"/>
        </w:rPr>
        <w:t>（四）供应商提出询问质疑时，应当向服务</w:t>
      </w:r>
      <w:r>
        <w:rPr>
          <w:rFonts w:ascii="宋体" w:hAnsi="宋体" w:eastAsia="宋体" w:cs="宋体"/>
          <w:spacing w:val="8"/>
          <w:sz w:val="23"/>
          <w:szCs w:val="23"/>
        </w:rPr>
        <w:t>商城平台提交询问质疑书面材料，同</w:t>
      </w:r>
      <w:r>
        <w:rPr>
          <w:rFonts w:ascii="宋体" w:hAnsi="宋体" w:eastAsia="宋体" w:cs="宋体"/>
          <w:spacing w:val="9"/>
          <w:sz w:val="23"/>
          <w:szCs w:val="23"/>
        </w:rPr>
        <w:t>时提供相关证据材料。未按程序和要求提出询问质疑的，或者未按要求提供证据材料</w:t>
      </w:r>
      <w:r>
        <w:rPr>
          <w:rFonts w:ascii="宋体" w:hAnsi="宋体" w:eastAsia="宋体" w:cs="宋体"/>
          <w:spacing w:val="8"/>
          <w:sz w:val="23"/>
          <w:szCs w:val="23"/>
        </w:rPr>
        <w:t>的，服务商城平台一律不予受理。证据的种类和有效性以相关法律规定为准。</w:t>
      </w:r>
    </w:p>
    <w:p w14:paraId="7FA383A5">
      <w:pPr>
        <w:spacing w:line="234" w:lineRule="exact"/>
        <w:ind w:left="604"/>
        <w:outlineLvl w:val="2"/>
        <w:rPr>
          <w:rFonts w:ascii="微软雅黑" w:hAnsi="微软雅黑" w:eastAsia="微软雅黑" w:cs="微软雅黑"/>
          <w:sz w:val="23"/>
          <w:szCs w:val="23"/>
        </w:rPr>
      </w:pPr>
      <w:r>
        <w:rPr>
          <w:rFonts w:ascii="微软雅黑" w:hAnsi="微软雅黑" w:eastAsia="微软雅黑" w:cs="微软雅黑"/>
          <w:spacing w:val="7"/>
          <w:position w:val="-1"/>
          <w:sz w:val="23"/>
          <w:szCs w:val="23"/>
        </w:rPr>
        <w:t>十、签订合同</w:t>
      </w:r>
    </w:p>
    <w:p w14:paraId="1BC34433">
      <w:pPr>
        <w:spacing w:before="158" w:line="313" w:lineRule="auto"/>
        <w:ind w:left="630" w:right="1601" w:firstLine="471"/>
        <w:rPr>
          <w:rFonts w:ascii="宋体" w:hAnsi="宋体" w:eastAsia="宋体" w:cs="宋体"/>
          <w:sz w:val="23"/>
          <w:szCs w:val="23"/>
        </w:rPr>
      </w:pPr>
      <w:r>
        <w:rPr>
          <w:rFonts w:ascii="宋体" w:hAnsi="宋体" w:eastAsia="宋体" w:cs="宋体"/>
          <w:spacing w:val="8"/>
          <w:sz w:val="23"/>
          <w:szCs w:val="23"/>
        </w:rPr>
        <w:t>（一）采购人与成交供应商应当在成交通知书发出后30天内，按照比选文件确定</w:t>
      </w:r>
      <w:r>
        <w:rPr>
          <w:rFonts w:ascii="宋体" w:hAnsi="宋体" w:eastAsia="宋体" w:cs="宋体"/>
          <w:spacing w:val="7"/>
          <w:sz w:val="23"/>
          <w:szCs w:val="23"/>
        </w:rPr>
        <w:t>的合同文本以及采购标的、采购金额和服务要求等事项签订采购合同。</w:t>
      </w:r>
    </w:p>
    <w:p w14:paraId="3E54F9D6">
      <w:pPr>
        <w:spacing w:before="2" w:line="312" w:lineRule="auto"/>
        <w:ind w:left="609" w:right="1599" w:firstLine="491"/>
        <w:rPr>
          <w:rFonts w:ascii="宋体" w:hAnsi="宋体" w:eastAsia="宋体" w:cs="宋体"/>
          <w:sz w:val="23"/>
          <w:szCs w:val="23"/>
        </w:rPr>
      </w:pPr>
      <w:r>
        <w:rPr>
          <w:rFonts w:ascii="宋体" w:hAnsi="宋体" w:eastAsia="宋体" w:cs="宋体"/>
          <w:spacing w:val="9"/>
          <w:sz w:val="23"/>
          <w:szCs w:val="23"/>
        </w:rPr>
        <w:t>（二）比选文件、成交供应商的响应文件及有效承诺文件等，</w:t>
      </w:r>
      <w:r>
        <w:rPr>
          <w:rFonts w:ascii="宋体" w:hAnsi="宋体" w:eastAsia="宋体" w:cs="宋体"/>
          <w:spacing w:val="8"/>
          <w:sz w:val="23"/>
          <w:szCs w:val="23"/>
        </w:rPr>
        <w:t>均为签订合同的依</w:t>
      </w:r>
      <w:r>
        <w:rPr>
          <w:rFonts w:ascii="宋体" w:hAnsi="宋体" w:eastAsia="宋体" w:cs="宋体"/>
          <w:spacing w:val="-8"/>
          <w:sz w:val="23"/>
          <w:szCs w:val="23"/>
        </w:rPr>
        <w:t>据。</w:t>
      </w:r>
    </w:p>
    <w:p w14:paraId="4EE42EDA">
      <w:pPr>
        <w:spacing w:before="2" w:line="312" w:lineRule="auto"/>
        <w:ind w:left="614" w:right="1594" w:firstLine="487"/>
        <w:rPr>
          <w:rFonts w:ascii="宋体" w:hAnsi="宋体" w:eastAsia="宋体" w:cs="宋体"/>
          <w:sz w:val="23"/>
          <w:szCs w:val="23"/>
        </w:rPr>
      </w:pPr>
      <w:r>
        <w:rPr>
          <w:rFonts w:ascii="宋体" w:hAnsi="宋体" w:eastAsia="宋体" w:cs="宋体"/>
          <w:spacing w:val="9"/>
          <w:sz w:val="23"/>
          <w:szCs w:val="23"/>
        </w:rPr>
        <w:t>（三）成交供应商未按照比选文件确定的事项签订合同，或者与采购人</w:t>
      </w:r>
      <w:r>
        <w:rPr>
          <w:rFonts w:ascii="宋体" w:hAnsi="宋体" w:eastAsia="宋体" w:cs="宋体"/>
          <w:spacing w:val="8"/>
          <w:sz w:val="23"/>
          <w:szCs w:val="23"/>
        </w:rPr>
        <w:t>另行订立</w:t>
      </w:r>
      <w:r>
        <w:rPr>
          <w:rFonts w:ascii="宋体" w:hAnsi="宋体" w:eastAsia="宋体" w:cs="宋体"/>
          <w:spacing w:val="7"/>
          <w:sz w:val="23"/>
          <w:szCs w:val="23"/>
        </w:rPr>
        <w:t>背离合同实质性内容协议的，将承担相关责任。</w:t>
      </w:r>
    </w:p>
    <w:p w14:paraId="1B760154">
      <w:pPr>
        <w:spacing w:before="2" w:line="313" w:lineRule="auto"/>
        <w:ind w:left="630" w:right="1585" w:firstLine="471"/>
        <w:rPr>
          <w:rFonts w:ascii="宋体" w:hAnsi="宋体" w:eastAsia="宋体" w:cs="宋体"/>
          <w:sz w:val="23"/>
          <w:szCs w:val="23"/>
        </w:rPr>
      </w:pPr>
      <w:r>
        <w:rPr>
          <w:rFonts w:ascii="宋体" w:hAnsi="宋体" w:eastAsia="宋体" w:cs="宋体"/>
          <w:spacing w:val="9"/>
          <w:sz w:val="23"/>
          <w:szCs w:val="23"/>
        </w:rPr>
        <w:t>（四）采购人不得向成交供应商提出超出比</w:t>
      </w:r>
      <w:r>
        <w:rPr>
          <w:rFonts w:ascii="宋体" w:hAnsi="宋体" w:eastAsia="宋体" w:cs="宋体"/>
          <w:spacing w:val="8"/>
          <w:sz w:val="23"/>
          <w:szCs w:val="23"/>
        </w:rPr>
        <w:t>选文件以外的任何要求作为签订合同</w:t>
      </w:r>
      <w:r>
        <w:rPr>
          <w:rFonts w:ascii="宋体" w:hAnsi="宋体" w:eastAsia="宋体" w:cs="宋体"/>
          <w:spacing w:val="9"/>
          <w:sz w:val="23"/>
          <w:szCs w:val="23"/>
        </w:rPr>
        <w:t>的条件，不得与成交供应商订立背离比选确定的合同文本以及采购标的、采购金额和</w:t>
      </w:r>
    </w:p>
    <w:p w14:paraId="3F560CC3">
      <w:pPr>
        <w:spacing w:line="313" w:lineRule="auto"/>
        <w:rPr>
          <w:rFonts w:ascii="宋体" w:hAnsi="宋体" w:eastAsia="宋体" w:cs="宋体"/>
          <w:sz w:val="23"/>
          <w:szCs w:val="23"/>
        </w:rPr>
        <w:sectPr>
          <w:headerReference r:id="rId20" w:type="default"/>
          <w:footerReference r:id="rId21" w:type="default"/>
          <w:pgSz w:w="11900" w:h="16839"/>
          <w:pgMar w:top="518" w:right="0" w:bottom="432" w:left="839" w:header="241" w:footer="147" w:gutter="0"/>
          <w:cols w:space="720" w:num="1"/>
        </w:sectPr>
      </w:pPr>
    </w:p>
    <w:p w14:paraId="30B7A35F">
      <w:pPr>
        <w:pStyle w:val="3"/>
        <w:spacing w:line="323" w:lineRule="auto"/>
      </w:pPr>
    </w:p>
    <w:p w14:paraId="4AED339C">
      <w:pPr>
        <w:spacing w:before="75" w:line="227" w:lineRule="auto"/>
        <w:ind w:left="610"/>
        <w:rPr>
          <w:rFonts w:ascii="宋体" w:hAnsi="宋体" w:eastAsia="宋体" w:cs="宋体"/>
          <w:sz w:val="23"/>
          <w:szCs w:val="23"/>
        </w:rPr>
      </w:pPr>
      <w:r>
        <w:rPr>
          <w:rFonts w:ascii="宋体" w:hAnsi="宋体" w:eastAsia="宋体" w:cs="宋体"/>
          <w:spacing w:val="6"/>
          <w:sz w:val="23"/>
          <w:szCs w:val="23"/>
        </w:rPr>
        <w:t>服务要求等实质性内容的协议。</w:t>
      </w:r>
    </w:p>
    <w:p w14:paraId="69BC7F40">
      <w:pPr>
        <w:spacing w:before="106" w:line="313" w:lineRule="auto"/>
        <w:ind w:left="615" w:right="1596" w:firstLine="486"/>
        <w:rPr>
          <w:rFonts w:ascii="宋体" w:hAnsi="宋体" w:eastAsia="宋体" w:cs="宋体"/>
          <w:sz w:val="23"/>
          <w:szCs w:val="23"/>
        </w:rPr>
      </w:pPr>
      <w:r>
        <w:rPr>
          <w:rFonts w:ascii="宋体" w:hAnsi="宋体" w:eastAsia="宋体" w:cs="宋体"/>
          <w:spacing w:val="9"/>
          <w:sz w:val="23"/>
          <w:szCs w:val="23"/>
        </w:rPr>
        <w:t>（五）除不可抗力等因素外，成交通知书发出后，采购人改变成交</w:t>
      </w:r>
      <w:r>
        <w:rPr>
          <w:rFonts w:ascii="宋体" w:hAnsi="宋体" w:eastAsia="宋体" w:cs="宋体"/>
          <w:spacing w:val="8"/>
          <w:sz w:val="23"/>
          <w:szCs w:val="23"/>
        </w:rPr>
        <w:t>结果，或者成</w:t>
      </w:r>
      <w:r>
        <w:rPr>
          <w:rFonts w:ascii="宋体" w:hAnsi="宋体" w:eastAsia="宋体" w:cs="宋体"/>
          <w:spacing w:val="9"/>
          <w:sz w:val="23"/>
          <w:szCs w:val="23"/>
        </w:rPr>
        <w:t>交供应商无正当理由拒绝签订采购合同的，应当承担相应的责任，受到平台相关处</w:t>
      </w:r>
    </w:p>
    <w:p w14:paraId="2679F0FD">
      <w:pPr>
        <w:spacing w:line="231" w:lineRule="auto"/>
        <w:ind w:left="620"/>
        <w:rPr>
          <w:rFonts w:ascii="宋体" w:hAnsi="宋体" w:eastAsia="宋体" w:cs="宋体"/>
          <w:sz w:val="23"/>
          <w:szCs w:val="23"/>
        </w:rPr>
      </w:pPr>
      <w:r>
        <w:rPr>
          <w:rFonts w:ascii="宋体" w:hAnsi="宋体" w:eastAsia="宋体" w:cs="宋体"/>
          <w:spacing w:val="-10"/>
          <w:sz w:val="23"/>
          <w:szCs w:val="23"/>
        </w:rPr>
        <w:t>罚。</w:t>
      </w:r>
    </w:p>
    <w:p w14:paraId="49CF53EF">
      <w:pPr>
        <w:pStyle w:val="3"/>
        <w:spacing w:line="322" w:lineRule="auto"/>
      </w:pPr>
    </w:p>
    <w:p w14:paraId="2A187A8C">
      <w:pPr>
        <w:pStyle w:val="3"/>
        <w:spacing w:line="323" w:lineRule="auto"/>
      </w:pPr>
    </w:p>
    <w:p w14:paraId="69010B53">
      <w:pPr>
        <w:spacing w:before="128" w:line="188" w:lineRule="auto"/>
        <w:ind w:left="4409"/>
        <w:outlineLvl w:val="1"/>
        <w:rPr>
          <w:rFonts w:ascii="微软雅黑" w:hAnsi="微软雅黑" w:eastAsia="微软雅黑" w:cs="微软雅黑"/>
          <w:sz w:val="30"/>
          <w:szCs w:val="30"/>
        </w:rPr>
      </w:pPr>
      <w:r>
        <w:rPr>
          <w:rFonts w:ascii="Times New Roman" w:hAnsi="Times New Roman" w:eastAsia="Times New Roman" w:cs="Times New Roman"/>
          <w:b/>
          <w:bCs/>
          <w:color w:val="036EFF"/>
          <w:spacing w:val="1"/>
          <w:position w:val="-1"/>
          <w:sz w:val="29"/>
          <w:szCs w:val="29"/>
        </w:rPr>
        <w:t>3.</w:t>
      </w:r>
      <w:r>
        <w:rPr>
          <w:rFonts w:ascii="微软雅黑" w:hAnsi="微软雅黑" w:eastAsia="微软雅黑" w:cs="微软雅黑"/>
          <w:color w:val="036EFF"/>
          <w:spacing w:val="1"/>
          <w:sz w:val="30"/>
          <w:szCs w:val="30"/>
        </w:rPr>
        <w:t>比选需求</w:t>
      </w:r>
    </w:p>
    <w:p w14:paraId="2B6FA93E">
      <w:pPr>
        <w:spacing w:before="323" w:line="238" w:lineRule="exact"/>
        <w:ind w:left="607"/>
        <w:outlineLvl w:val="2"/>
        <w:rPr>
          <w:rFonts w:ascii="微软雅黑" w:hAnsi="微软雅黑" w:eastAsia="微软雅黑" w:cs="微软雅黑"/>
          <w:sz w:val="23"/>
          <w:szCs w:val="23"/>
        </w:rPr>
      </w:pPr>
      <w:r>
        <w:rPr>
          <w:rFonts w:ascii="微软雅黑" w:hAnsi="微软雅黑" w:eastAsia="微软雅黑" w:cs="微软雅黑"/>
          <w:spacing w:val="9"/>
          <w:position w:val="-1"/>
          <w:sz w:val="23"/>
          <w:szCs w:val="23"/>
        </w:rPr>
        <w:t>一、项目概况</w:t>
      </w:r>
    </w:p>
    <w:p w14:paraId="246B3999">
      <w:pPr>
        <w:spacing w:before="142" w:line="227" w:lineRule="auto"/>
        <w:ind w:left="1101"/>
        <w:rPr>
          <w:rFonts w:ascii="宋体" w:hAnsi="宋体" w:eastAsia="宋体" w:cs="宋体"/>
          <w:sz w:val="23"/>
          <w:szCs w:val="23"/>
        </w:rPr>
      </w:pPr>
      <w:r>
        <w:rPr>
          <w:rFonts w:ascii="宋体" w:hAnsi="宋体" w:eastAsia="宋体" w:cs="宋体"/>
          <w:spacing w:val="7"/>
          <w:sz w:val="23"/>
          <w:szCs w:val="23"/>
        </w:rPr>
        <w:t>（一）项目名称：2026年南京市新婚夫妇向革命烈士献花活动。</w:t>
      </w:r>
    </w:p>
    <w:p w14:paraId="05A8A9AD">
      <w:pPr>
        <w:spacing w:before="107" w:line="305" w:lineRule="auto"/>
        <w:ind w:left="613" w:right="1465" w:firstLine="496" w:firstLineChars="202"/>
        <w:rPr>
          <w:rFonts w:ascii="宋体" w:hAnsi="宋体" w:eastAsia="宋体" w:cs="宋体"/>
          <w:sz w:val="23"/>
          <w:szCs w:val="23"/>
        </w:rPr>
      </w:pPr>
      <w:r>
        <w:rPr>
          <w:rFonts w:ascii="宋体" w:hAnsi="宋体" w:eastAsia="宋体" w:cs="宋体"/>
          <w:spacing w:val="8"/>
          <w:sz w:val="23"/>
          <w:szCs w:val="23"/>
        </w:rPr>
        <w:t>（二）本项目控制价金额为：154500.00元，投标报价超过此金额的，按照无效报价处</w:t>
      </w:r>
      <w:r>
        <w:rPr>
          <w:rFonts w:ascii="宋体" w:hAnsi="宋体" w:eastAsia="宋体" w:cs="宋体"/>
          <w:spacing w:val="-9"/>
          <w:sz w:val="23"/>
          <w:szCs w:val="23"/>
        </w:rPr>
        <w:t>理。</w:t>
      </w:r>
    </w:p>
    <w:p w14:paraId="1ED2C19D">
      <w:pPr>
        <w:spacing w:line="237" w:lineRule="exact"/>
        <w:ind w:left="607"/>
        <w:outlineLvl w:val="2"/>
        <w:rPr>
          <w:rFonts w:ascii="微软雅黑" w:hAnsi="微软雅黑" w:eastAsia="微软雅黑" w:cs="微软雅黑"/>
          <w:sz w:val="23"/>
          <w:szCs w:val="23"/>
        </w:rPr>
      </w:pPr>
      <w:r>
        <w:rPr>
          <w:rFonts w:ascii="微软雅黑" w:hAnsi="微软雅黑" w:eastAsia="微软雅黑" w:cs="微软雅黑"/>
          <w:spacing w:val="8"/>
          <w:position w:val="-1"/>
          <w:sz w:val="23"/>
          <w:szCs w:val="23"/>
        </w:rPr>
        <w:t>二、服务需求</w:t>
      </w:r>
    </w:p>
    <w:p w14:paraId="14E8258E">
      <w:pPr>
        <w:spacing w:before="140" w:line="313" w:lineRule="auto"/>
        <w:ind w:left="609" w:right="1465" w:firstLine="491"/>
        <w:rPr>
          <w:rFonts w:ascii="宋体" w:hAnsi="宋体" w:eastAsia="宋体" w:cs="宋体"/>
          <w:spacing w:val="-2"/>
          <w:sz w:val="23"/>
          <w:szCs w:val="23"/>
        </w:rPr>
      </w:pPr>
      <w:r>
        <w:rPr>
          <w:rFonts w:ascii="宋体" w:hAnsi="宋体" w:eastAsia="宋体" w:cs="宋体"/>
          <w:spacing w:val="8"/>
          <w:sz w:val="23"/>
          <w:szCs w:val="23"/>
        </w:rPr>
        <w:t>（一）活动策划：</w:t>
      </w:r>
      <w:r>
        <w:rPr>
          <w:rFonts w:hint="eastAsia" w:ascii="宋体" w:hAnsi="宋体" w:eastAsia="宋体" w:cs="宋体"/>
          <w:spacing w:val="8"/>
          <w:sz w:val="23"/>
          <w:szCs w:val="23"/>
          <w:lang w:val="en-US" w:eastAsia="zh-CN"/>
        </w:rPr>
        <w:t>组织新婚夫妇（一般不少于40对，以实际报名情况为准），</w:t>
      </w:r>
      <w:r>
        <w:rPr>
          <w:rFonts w:ascii="宋体" w:hAnsi="宋体" w:eastAsia="宋体" w:cs="宋体"/>
          <w:spacing w:val="8"/>
          <w:sz w:val="23"/>
          <w:szCs w:val="23"/>
        </w:rPr>
        <w:t>拟于2026年9月30日9:00在雨花台</w:t>
      </w:r>
      <w:r>
        <w:rPr>
          <w:rFonts w:ascii="宋体" w:hAnsi="宋体" w:eastAsia="宋体" w:cs="宋体"/>
          <w:spacing w:val="7"/>
          <w:sz w:val="23"/>
          <w:szCs w:val="23"/>
        </w:rPr>
        <w:t>烈士陵园烈士就义群雕广场举</w:t>
      </w:r>
      <w:r>
        <w:rPr>
          <w:rFonts w:ascii="宋体" w:hAnsi="宋体" w:eastAsia="宋体" w:cs="宋体"/>
          <w:spacing w:val="9"/>
          <w:sz w:val="23"/>
          <w:szCs w:val="23"/>
        </w:rPr>
        <w:t>行南京市新婚夫妇向革命烈士献花活动。2026年是中国共产党成</w:t>
      </w:r>
      <w:r>
        <w:rPr>
          <w:rFonts w:ascii="宋体" w:hAnsi="宋体" w:eastAsia="宋体" w:cs="宋体"/>
          <w:spacing w:val="8"/>
          <w:sz w:val="23"/>
          <w:szCs w:val="23"/>
        </w:rPr>
        <w:t>立105周年，也是中国</w:t>
      </w:r>
      <w:r>
        <w:rPr>
          <w:rFonts w:ascii="宋体" w:hAnsi="宋体" w:eastAsia="宋体" w:cs="宋体"/>
          <w:spacing w:val="12"/>
          <w:sz w:val="23"/>
          <w:szCs w:val="23"/>
        </w:rPr>
        <w:t>工农红军长征胜利90周年。活动围绕“烈士纪念日”和“新婚夫妇向革命烈士献花”</w:t>
      </w:r>
      <w:r>
        <w:rPr>
          <w:rFonts w:ascii="宋体" w:hAnsi="宋体" w:eastAsia="宋体" w:cs="宋体"/>
          <w:spacing w:val="10"/>
          <w:sz w:val="23"/>
          <w:szCs w:val="23"/>
        </w:rPr>
        <w:t>主题，延续“缅怀革命先烈、珍惜幸福生活、</w:t>
      </w:r>
      <w:r>
        <w:rPr>
          <w:rFonts w:ascii="宋体" w:hAnsi="宋体" w:eastAsia="宋体" w:cs="宋体"/>
          <w:spacing w:val="9"/>
          <w:sz w:val="23"/>
          <w:szCs w:val="23"/>
        </w:rPr>
        <w:t>共创美好未来”主题，突出仪式感与可</w:t>
      </w:r>
      <w:r>
        <w:rPr>
          <w:rFonts w:ascii="宋体" w:hAnsi="宋体" w:eastAsia="宋体" w:cs="宋体"/>
          <w:spacing w:val="10"/>
          <w:sz w:val="23"/>
          <w:szCs w:val="23"/>
        </w:rPr>
        <w:t>操作性，引导新时代青年传承红色基因，厚植</w:t>
      </w:r>
      <w:r>
        <w:rPr>
          <w:rFonts w:ascii="宋体" w:hAnsi="宋体" w:eastAsia="宋体" w:cs="宋体"/>
          <w:spacing w:val="9"/>
          <w:sz w:val="23"/>
          <w:szCs w:val="23"/>
        </w:rPr>
        <w:t>家国情怀，践行“强国复兴有我”的青</w:t>
      </w:r>
      <w:r>
        <w:rPr>
          <w:rFonts w:ascii="宋体" w:hAnsi="宋体" w:eastAsia="宋体" w:cs="宋体"/>
          <w:spacing w:val="-2"/>
          <w:sz w:val="23"/>
          <w:szCs w:val="23"/>
        </w:rPr>
        <w:t>春誓言。</w:t>
      </w:r>
    </w:p>
    <w:p w14:paraId="3DE8169E">
      <w:pPr>
        <w:spacing w:before="140" w:line="313" w:lineRule="auto"/>
        <w:ind w:left="609" w:right="1465" w:firstLine="491"/>
        <w:rPr>
          <w:rFonts w:ascii="宋体" w:hAnsi="宋体" w:eastAsia="宋体" w:cs="宋体"/>
          <w:spacing w:val="8"/>
          <w:sz w:val="23"/>
          <w:szCs w:val="23"/>
        </w:rPr>
      </w:pPr>
      <w:r>
        <w:rPr>
          <w:rFonts w:ascii="宋体" w:hAnsi="宋体" w:eastAsia="宋体" w:cs="宋体"/>
          <w:spacing w:val="9"/>
          <w:sz w:val="23"/>
          <w:szCs w:val="23"/>
        </w:rPr>
        <w:t>（二）活动现场布置：做好活动主会场（雨花台烈士就义群雕广场）的保</w:t>
      </w:r>
      <w:r>
        <w:rPr>
          <w:rFonts w:ascii="宋体" w:hAnsi="宋体" w:eastAsia="宋体" w:cs="宋体"/>
          <w:spacing w:val="8"/>
          <w:sz w:val="23"/>
          <w:szCs w:val="23"/>
        </w:rPr>
        <w:t>障工作；做好整体活动方案设计和会场环境氛围营造，兼顾雨花台庄严肃穆氛围和活动仪式感。</w:t>
      </w:r>
    </w:p>
    <w:p w14:paraId="212B55E0">
      <w:pPr>
        <w:spacing w:before="140" w:line="313" w:lineRule="auto"/>
        <w:ind w:left="609" w:right="1465" w:firstLine="491"/>
        <w:rPr>
          <w:rFonts w:ascii="宋体" w:hAnsi="宋体" w:eastAsia="宋体" w:cs="宋体"/>
          <w:spacing w:val="4"/>
          <w:sz w:val="23"/>
          <w:szCs w:val="23"/>
        </w:rPr>
      </w:pPr>
      <w:r>
        <w:rPr>
          <w:rFonts w:ascii="宋体" w:hAnsi="宋体" w:eastAsia="宋体" w:cs="宋体"/>
          <w:spacing w:val="9"/>
          <w:sz w:val="23"/>
          <w:szCs w:val="23"/>
        </w:rPr>
        <w:t>（三）活动执行期间的服务保障：提供相应的物资、交通保障、服务对接和人</w:t>
      </w:r>
      <w:r>
        <w:rPr>
          <w:rFonts w:ascii="宋体" w:hAnsi="宋体" w:eastAsia="宋体" w:cs="宋体"/>
          <w:spacing w:val="8"/>
          <w:sz w:val="23"/>
          <w:szCs w:val="23"/>
        </w:rPr>
        <w:t>员保障等，确保活动顺利有序开展，具体包括新人接驳、餐饮及防暑降温用品、婚纱礼服、</w:t>
      </w:r>
      <w:r>
        <w:rPr>
          <w:rFonts w:ascii="宋体" w:hAnsi="宋体" w:eastAsia="宋体" w:cs="宋体"/>
          <w:spacing w:val="4"/>
          <w:sz w:val="23"/>
          <w:szCs w:val="23"/>
        </w:rPr>
        <w:t>化妆及医疗保障等。</w:t>
      </w:r>
    </w:p>
    <w:p w14:paraId="4B975199">
      <w:pPr>
        <w:spacing w:before="140" w:line="313" w:lineRule="auto"/>
        <w:ind w:left="609" w:right="1465" w:firstLine="491"/>
        <w:rPr>
          <w:rFonts w:ascii="宋体" w:hAnsi="宋体" w:eastAsia="宋体" w:cs="宋体"/>
          <w:sz w:val="23"/>
          <w:szCs w:val="23"/>
        </w:rPr>
      </w:pPr>
      <w:r>
        <w:rPr>
          <w:rFonts w:ascii="宋体" w:hAnsi="宋体" w:eastAsia="宋体" w:cs="宋体"/>
          <w:spacing w:val="8"/>
          <w:sz w:val="23"/>
          <w:szCs w:val="23"/>
        </w:rPr>
        <w:t>（四）活动宣传：成交供应商开展全方位、立体式宣传，打造好红色文化品牌。</w:t>
      </w:r>
    </w:p>
    <w:p w14:paraId="4362666C">
      <w:pPr>
        <w:spacing w:before="107" w:line="313" w:lineRule="auto"/>
        <w:ind w:left="609" w:right="1597" w:firstLine="505" w:firstLineChars="204"/>
        <w:rPr>
          <w:rFonts w:ascii="宋体" w:hAnsi="宋体" w:eastAsia="宋体" w:cs="宋体"/>
          <w:sz w:val="23"/>
          <w:szCs w:val="23"/>
        </w:rPr>
      </w:pPr>
      <w:r>
        <w:rPr>
          <w:rFonts w:ascii="宋体" w:hAnsi="宋体" w:eastAsia="宋体" w:cs="宋体"/>
          <w:spacing w:val="9"/>
          <w:sz w:val="23"/>
          <w:szCs w:val="23"/>
        </w:rPr>
        <w:t>（1）组织线上报名。9月上旬，设计制作在线报名系</w:t>
      </w:r>
      <w:r>
        <w:rPr>
          <w:rFonts w:ascii="宋体" w:hAnsi="宋体" w:eastAsia="宋体" w:cs="宋体"/>
          <w:spacing w:val="8"/>
          <w:sz w:val="23"/>
          <w:szCs w:val="23"/>
        </w:rPr>
        <w:t>统，发布活动消息，公布报名渠道（微信、网络、热线电话</w:t>
      </w:r>
      <w:r>
        <w:rPr>
          <w:rFonts w:ascii="宋体" w:hAnsi="宋体" w:eastAsia="宋体" w:cs="宋体"/>
          <w:spacing w:val="7"/>
          <w:sz w:val="23"/>
          <w:szCs w:val="23"/>
        </w:rPr>
        <w:t>），</w:t>
      </w:r>
      <w:r>
        <w:rPr>
          <w:rFonts w:ascii="宋体" w:hAnsi="宋体" w:eastAsia="宋体" w:cs="宋体"/>
          <w:spacing w:val="8"/>
          <w:sz w:val="23"/>
          <w:szCs w:val="23"/>
        </w:rPr>
        <w:t>接受新婚夫妇自</w:t>
      </w:r>
      <w:r>
        <w:rPr>
          <w:rFonts w:ascii="宋体" w:hAnsi="宋体" w:eastAsia="宋体" w:cs="宋体"/>
          <w:spacing w:val="7"/>
          <w:sz w:val="23"/>
          <w:szCs w:val="23"/>
        </w:rPr>
        <w:t>愿报名。</w:t>
      </w:r>
    </w:p>
    <w:p w14:paraId="7FD85B38">
      <w:pPr>
        <w:spacing w:before="2" w:line="312" w:lineRule="auto"/>
        <w:ind w:left="613" w:right="1476" w:firstLine="500" w:firstLineChars="202"/>
        <w:rPr>
          <w:rFonts w:ascii="宋体" w:hAnsi="宋体" w:eastAsia="宋体" w:cs="宋体"/>
          <w:sz w:val="23"/>
          <w:szCs w:val="23"/>
        </w:rPr>
      </w:pPr>
      <w:r>
        <w:rPr>
          <w:rFonts w:ascii="宋体" w:hAnsi="宋体" w:eastAsia="宋体" w:cs="宋体"/>
          <w:spacing w:val="9"/>
          <w:sz w:val="23"/>
          <w:szCs w:val="23"/>
        </w:rPr>
        <w:t>（2）布置现场报名点。在南京市各区婚姻登记处、雨花台烈士陵园</w:t>
      </w:r>
      <w:r>
        <w:rPr>
          <w:rFonts w:ascii="宋体" w:hAnsi="宋体" w:eastAsia="宋体" w:cs="宋体"/>
          <w:spacing w:val="8"/>
          <w:sz w:val="23"/>
          <w:szCs w:val="23"/>
        </w:rPr>
        <w:t>等显著位置设置报名点，摆放宣传背板，发放宣传材料和报名表，接受社会咨询报名。</w:t>
      </w:r>
    </w:p>
    <w:p w14:paraId="43B3F448">
      <w:pPr>
        <w:spacing w:before="2" w:line="312" w:lineRule="auto"/>
        <w:ind w:left="796" w:leftChars="379" w:right="1475" w:firstLine="483" w:firstLineChars="195"/>
        <w:rPr>
          <w:rFonts w:ascii="宋体" w:hAnsi="宋体" w:eastAsia="宋体" w:cs="宋体"/>
          <w:sz w:val="23"/>
          <w:szCs w:val="23"/>
        </w:rPr>
      </w:pPr>
      <w:r>
        <w:rPr>
          <w:rFonts w:ascii="宋体" w:hAnsi="宋体" w:eastAsia="宋体" w:cs="宋体"/>
          <w:spacing w:val="9"/>
          <w:sz w:val="23"/>
          <w:szCs w:val="23"/>
        </w:rPr>
        <w:t>（3）制作刊播招募宣传片。制作30秒公益广告宣</w:t>
      </w:r>
      <w:r>
        <w:rPr>
          <w:rFonts w:ascii="宋体" w:hAnsi="宋体" w:eastAsia="宋体" w:cs="宋体"/>
          <w:spacing w:val="8"/>
          <w:sz w:val="23"/>
          <w:szCs w:val="23"/>
        </w:rPr>
        <w:t>传片和系列短视频，在</w:t>
      </w:r>
      <w:r>
        <w:rPr>
          <w:rFonts w:ascii="Segoe UI" w:hAnsi="Segoe UI" w:eastAsia="Segoe UI" w:cs="Segoe UI"/>
          <w:i w:val="0"/>
          <w:iCs w:val="0"/>
          <w:caps w:val="0"/>
          <w:color w:val="0F1115"/>
          <w:spacing w:val="0"/>
          <w:sz w:val="22"/>
          <w:szCs w:val="22"/>
          <w:shd w:val="clear" w:fill="FFFFFF"/>
        </w:rPr>
        <w:t>市级（含以上）媒体、线上APP、新媒体矩阵</w:t>
      </w:r>
      <w:r>
        <w:rPr>
          <w:rFonts w:ascii="宋体" w:hAnsi="宋体" w:eastAsia="宋体" w:cs="宋体"/>
          <w:spacing w:val="9"/>
          <w:sz w:val="23"/>
          <w:szCs w:val="23"/>
        </w:rPr>
        <w:t>等进行播放；设计制作平面</w:t>
      </w:r>
      <w:r>
        <w:rPr>
          <w:rFonts w:ascii="宋体" w:hAnsi="宋体" w:eastAsia="宋体" w:cs="宋体"/>
          <w:spacing w:val="8"/>
          <w:sz w:val="23"/>
          <w:szCs w:val="23"/>
        </w:rPr>
        <w:t>公益广告，供各都市类报刊、新媒体矩阵推送刊发；印制宣传海报，在市机关企事业单位、</w:t>
      </w:r>
      <w:r>
        <w:rPr>
          <w:rFonts w:ascii="宋体" w:hAnsi="宋体" w:eastAsia="宋体" w:cs="宋体"/>
          <w:spacing w:val="7"/>
          <w:sz w:val="23"/>
          <w:szCs w:val="23"/>
        </w:rPr>
        <w:t>爱国主义教育基地、纪念场馆等地广泛张贴宣传。</w:t>
      </w:r>
    </w:p>
    <w:p w14:paraId="23C8F6F2">
      <w:pPr>
        <w:spacing w:before="5" w:line="312" w:lineRule="auto"/>
        <w:ind w:left="598" w:right="1585" w:firstLine="514" w:firstLineChars="209"/>
        <w:rPr>
          <w:rFonts w:ascii="宋体" w:hAnsi="宋体" w:eastAsia="宋体" w:cs="宋体"/>
          <w:sz w:val="23"/>
          <w:szCs w:val="23"/>
        </w:rPr>
      </w:pPr>
      <w:r>
        <w:rPr>
          <w:rFonts w:ascii="宋体" w:hAnsi="宋体" w:eastAsia="宋体" w:cs="宋体"/>
          <w:spacing w:val="8"/>
          <w:sz w:val="23"/>
          <w:szCs w:val="23"/>
        </w:rPr>
        <w:t>（4）制作刊播主题宣传视频。活动前夕，制作主题视频“传承”（6分钟左右</w:t>
      </w:r>
      <w:r>
        <w:rPr>
          <w:rFonts w:ascii="宋体" w:hAnsi="宋体" w:eastAsia="宋体" w:cs="宋体"/>
          <w:spacing w:val="15"/>
          <w:sz w:val="23"/>
          <w:szCs w:val="23"/>
        </w:rPr>
        <w:t>），</w:t>
      </w:r>
      <w:r>
        <w:rPr>
          <w:rFonts w:ascii="宋体" w:hAnsi="宋体" w:eastAsia="宋体" w:cs="宋体"/>
          <w:spacing w:val="8"/>
          <w:sz w:val="23"/>
          <w:szCs w:val="23"/>
        </w:rPr>
        <w:t>以</w:t>
      </w:r>
      <w:r>
        <w:rPr>
          <w:rFonts w:ascii="宋体" w:hAnsi="宋体" w:eastAsia="宋体" w:cs="宋体"/>
          <w:spacing w:val="10"/>
          <w:sz w:val="23"/>
          <w:szCs w:val="23"/>
        </w:rPr>
        <w:t>“传承”为主线，以雨花英烈革命夫妻、恋人的红色故事为情感原点，</w:t>
      </w:r>
      <w:r>
        <w:rPr>
          <w:rFonts w:ascii="宋体" w:hAnsi="宋体" w:eastAsia="宋体" w:cs="宋体"/>
          <w:spacing w:val="9"/>
          <w:sz w:val="23"/>
          <w:szCs w:val="23"/>
        </w:rPr>
        <w:t>联结英烈的信</w:t>
      </w:r>
      <w:r>
        <w:rPr>
          <w:rFonts w:ascii="宋体" w:hAnsi="宋体" w:eastAsia="宋体" w:cs="宋体"/>
          <w:spacing w:val="10"/>
          <w:sz w:val="23"/>
          <w:szCs w:val="23"/>
        </w:rPr>
        <w:t>仰之爱与当代新婚夫妇的相守之诺。视频通过纪念馆展厅文物为情感纽</w:t>
      </w:r>
      <w:r>
        <w:rPr>
          <w:rFonts w:ascii="宋体" w:hAnsi="宋体" w:eastAsia="宋体" w:cs="宋体"/>
          <w:spacing w:val="9"/>
          <w:sz w:val="23"/>
          <w:szCs w:val="23"/>
        </w:rPr>
        <w:t>带，展现红色</w:t>
      </w:r>
      <w:r>
        <w:rPr>
          <w:rFonts w:ascii="宋体" w:hAnsi="宋体" w:eastAsia="宋体" w:cs="宋体"/>
          <w:spacing w:val="10"/>
          <w:sz w:val="23"/>
          <w:szCs w:val="23"/>
        </w:rPr>
        <w:t>基因在青年婚姻、家风传承中的时代赓续。视频在省市主流</w:t>
      </w:r>
      <w:r>
        <w:rPr>
          <w:rFonts w:ascii="宋体" w:hAnsi="宋体" w:eastAsia="宋体" w:cs="宋体"/>
          <w:spacing w:val="9"/>
          <w:sz w:val="23"/>
          <w:szCs w:val="23"/>
        </w:rPr>
        <w:t>媒体平台推出；同步在B</w:t>
      </w:r>
      <w:r>
        <w:rPr>
          <w:rFonts w:ascii="宋体" w:hAnsi="宋体" w:eastAsia="宋体" w:cs="宋体"/>
          <w:spacing w:val="8"/>
          <w:sz w:val="23"/>
          <w:szCs w:val="23"/>
        </w:rPr>
        <w:t>站、小红书、抖音等平台定制专属内容与话题。</w:t>
      </w:r>
    </w:p>
    <w:p w14:paraId="5C8CFAF1">
      <w:pPr>
        <w:spacing w:line="227" w:lineRule="auto"/>
        <w:ind w:left="621"/>
        <w:rPr>
          <w:rFonts w:ascii="宋体" w:hAnsi="宋体" w:eastAsia="宋体" w:cs="宋体"/>
          <w:sz w:val="23"/>
          <w:szCs w:val="23"/>
        </w:rPr>
      </w:pPr>
      <w:r>
        <w:rPr>
          <w:rFonts w:ascii="宋体" w:hAnsi="宋体" w:eastAsia="宋体" w:cs="宋体"/>
          <w:spacing w:val="9"/>
          <w:sz w:val="23"/>
          <w:szCs w:val="23"/>
        </w:rPr>
        <w:t>（5）活动现场与跟踪报道。烈士纪念日前后，拍摄新闻图片，制作</w:t>
      </w:r>
      <w:r>
        <w:rPr>
          <w:rFonts w:ascii="宋体" w:hAnsi="宋体" w:eastAsia="宋体" w:cs="宋体"/>
          <w:spacing w:val="8"/>
          <w:sz w:val="23"/>
          <w:szCs w:val="23"/>
        </w:rPr>
        <w:t>活动快剪短视频</w:t>
      </w:r>
    </w:p>
    <w:p w14:paraId="4AE85060">
      <w:pPr>
        <w:pStyle w:val="3"/>
        <w:spacing w:line="322" w:lineRule="auto"/>
      </w:pPr>
    </w:p>
    <w:p w14:paraId="44D54EA9">
      <w:pPr>
        <w:spacing w:before="74" w:line="308" w:lineRule="auto"/>
        <w:ind w:left="612" w:right="1585" w:firstLine="9"/>
        <w:jc w:val="both"/>
        <w:rPr>
          <w:rFonts w:ascii="宋体" w:hAnsi="宋体" w:eastAsia="宋体" w:cs="宋体"/>
          <w:sz w:val="23"/>
          <w:szCs w:val="23"/>
        </w:rPr>
      </w:pPr>
      <w:r>
        <w:rPr>
          <w:rFonts w:ascii="宋体" w:hAnsi="宋体" w:eastAsia="宋体" w:cs="宋体"/>
          <w:spacing w:val="9"/>
          <w:sz w:val="23"/>
          <w:szCs w:val="23"/>
        </w:rPr>
        <w:t>（活动当天完成并多平台推送）；积极推荐活动新闻在央视播出；邀</w:t>
      </w:r>
      <w:r>
        <w:rPr>
          <w:rFonts w:ascii="宋体" w:hAnsi="宋体" w:eastAsia="宋体" w:cs="宋体"/>
          <w:spacing w:val="8"/>
          <w:sz w:val="23"/>
          <w:szCs w:val="23"/>
        </w:rPr>
        <w:t>请中央、省、市</w:t>
      </w:r>
      <w:r>
        <w:rPr>
          <w:rFonts w:ascii="宋体" w:hAnsi="宋体" w:eastAsia="宋体" w:cs="宋体"/>
          <w:spacing w:val="9"/>
          <w:sz w:val="23"/>
          <w:szCs w:val="23"/>
        </w:rPr>
        <w:t>主要新闻网站开设专题，推出图文、H5、短视频等形式的宣传报道，营造浓厚舆论氛</w:t>
      </w:r>
      <w:r>
        <w:rPr>
          <w:rFonts w:ascii="宋体" w:hAnsi="宋体" w:eastAsia="宋体" w:cs="宋体"/>
          <w:spacing w:val="-8"/>
          <w:sz w:val="23"/>
          <w:szCs w:val="23"/>
        </w:rPr>
        <w:t>围。</w:t>
      </w:r>
    </w:p>
    <w:p w14:paraId="52B12217">
      <w:pPr>
        <w:spacing w:line="239" w:lineRule="exact"/>
        <w:ind w:left="603"/>
        <w:outlineLvl w:val="2"/>
        <w:rPr>
          <w:rFonts w:ascii="微软雅黑" w:hAnsi="微软雅黑" w:eastAsia="微软雅黑" w:cs="微软雅黑"/>
          <w:sz w:val="23"/>
          <w:szCs w:val="23"/>
        </w:rPr>
      </w:pPr>
      <w:r>
        <w:rPr>
          <w:rFonts w:ascii="微软雅黑" w:hAnsi="微软雅黑" w:eastAsia="微软雅黑" w:cs="微软雅黑"/>
          <w:spacing w:val="9"/>
          <w:position w:val="-1"/>
          <w:sz w:val="23"/>
          <w:szCs w:val="23"/>
        </w:rPr>
        <w:t>三、服务评价要求</w:t>
      </w:r>
    </w:p>
    <w:p w14:paraId="38FEF142">
      <w:pPr>
        <w:spacing w:before="138" w:line="308" w:lineRule="auto"/>
        <w:ind w:left="610" w:right="1585" w:firstLine="480"/>
        <w:rPr>
          <w:rFonts w:ascii="宋体" w:hAnsi="宋体" w:eastAsia="宋体" w:cs="宋体"/>
          <w:sz w:val="23"/>
          <w:szCs w:val="23"/>
        </w:rPr>
      </w:pPr>
      <w:r>
        <w:rPr>
          <w:rFonts w:ascii="宋体" w:hAnsi="宋体" w:eastAsia="宋体" w:cs="宋体"/>
          <w:spacing w:val="8"/>
          <w:sz w:val="23"/>
          <w:szCs w:val="23"/>
        </w:rPr>
        <w:t>本项目所涉及的活动策划情况、活动执行情况、活动组织情况、活动宣传情况、</w:t>
      </w:r>
      <w:r>
        <w:rPr>
          <w:rFonts w:ascii="宋体" w:hAnsi="宋体" w:eastAsia="宋体" w:cs="宋体"/>
          <w:spacing w:val="10"/>
          <w:sz w:val="23"/>
          <w:szCs w:val="23"/>
        </w:rPr>
        <w:t>物料保障情况、接待服务情况以及活动流程</w:t>
      </w:r>
      <w:r>
        <w:rPr>
          <w:rFonts w:ascii="宋体" w:hAnsi="宋体" w:eastAsia="宋体" w:cs="宋体"/>
          <w:spacing w:val="9"/>
          <w:sz w:val="23"/>
          <w:szCs w:val="23"/>
        </w:rPr>
        <w:t>等符合现行的国家、江苏省、南京市相关</w:t>
      </w:r>
      <w:r>
        <w:rPr>
          <w:rFonts w:ascii="宋体" w:hAnsi="宋体" w:eastAsia="宋体" w:cs="宋体"/>
          <w:spacing w:val="5"/>
          <w:sz w:val="23"/>
          <w:szCs w:val="23"/>
        </w:rPr>
        <w:t>的政策法规及执业标准。</w:t>
      </w:r>
    </w:p>
    <w:p w14:paraId="39AF20DE">
      <w:pPr>
        <w:spacing w:line="233" w:lineRule="exact"/>
        <w:ind w:left="632"/>
        <w:outlineLvl w:val="2"/>
        <w:rPr>
          <w:rFonts w:ascii="微软雅黑" w:hAnsi="微软雅黑" w:eastAsia="微软雅黑" w:cs="微软雅黑"/>
          <w:sz w:val="23"/>
          <w:szCs w:val="23"/>
        </w:rPr>
      </w:pPr>
      <w:r>
        <w:rPr>
          <w:rFonts w:ascii="微软雅黑" w:hAnsi="微软雅黑" w:eastAsia="微软雅黑" w:cs="微软雅黑"/>
          <w:spacing w:val="6"/>
          <w:position w:val="-1"/>
          <w:sz w:val="23"/>
          <w:szCs w:val="23"/>
        </w:rPr>
        <w:t>四、人员及实施要求</w:t>
      </w:r>
    </w:p>
    <w:p w14:paraId="44EB690F">
      <w:pPr>
        <w:spacing w:before="145" w:line="227" w:lineRule="auto"/>
        <w:ind w:left="1101"/>
        <w:rPr>
          <w:rFonts w:ascii="宋体" w:hAnsi="宋体" w:eastAsia="宋体" w:cs="宋体"/>
          <w:sz w:val="23"/>
          <w:szCs w:val="23"/>
        </w:rPr>
      </w:pPr>
      <w:r>
        <w:rPr>
          <w:rFonts w:ascii="宋体" w:hAnsi="宋体" w:eastAsia="宋体" w:cs="宋体"/>
          <w:spacing w:val="7"/>
          <w:sz w:val="23"/>
          <w:szCs w:val="23"/>
        </w:rPr>
        <w:t>（一）团队成员需包括导演、编导、记者、编辑等职能人员。</w:t>
      </w:r>
    </w:p>
    <w:p w14:paraId="5A33D09D">
      <w:pPr>
        <w:spacing w:before="106" w:line="313" w:lineRule="auto"/>
        <w:ind w:left="611" w:right="1604" w:firstLine="10"/>
        <w:rPr>
          <w:rFonts w:ascii="宋体" w:hAnsi="宋体" w:eastAsia="宋体" w:cs="宋体"/>
          <w:sz w:val="23"/>
          <w:szCs w:val="23"/>
        </w:rPr>
      </w:pPr>
      <w:r>
        <w:rPr>
          <w:rFonts w:ascii="宋体" w:hAnsi="宋体" w:eastAsia="宋体" w:cs="宋体"/>
          <w:spacing w:val="9"/>
          <w:sz w:val="23"/>
          <w:szCs w:val="23"/>
        </w:rPr>
        <w:t>（二）需提供市级及以上党媒客户端发布代理证明。（提供</w:t>
      </w:r>
      <w:r>
        <w:rPr>
          <w:rFonts w:ascii="宋体" w:hAnsi="宋体" w:eastAsia="宋体" w:cs="宋体"/>
          <w:spacing w:val="8"/>
          <w:sz w:val="23"/>
          <w:szCs w:val="23"/>
        </w:rPr>
        <w:t>相关证明材料扫描件并加</w:t>
      </w:r>
      <w:r>
        <w:rPr>
          <w:rFonts w:ascii="宋体" w:hAnsi="宋体" w:eastAsia="宋体" w:cs="宋体"/>
          <w:spacing w:val="5"/>
          <w:sz w:val="23"/>
          <w:szCs w:val="23"/>
        </w:rPr>
        <w:t>盖供应商公章）</w:t>
      </w:r>
    </w:p>
    <w:p w14:paraId="41AD59ED">
      <w:pPr>
        <w:spacing w:line="305" w:lineRule="auto"/>
        <w:ind w:left="612" w:right="1625" w:firstLine="9"/>
        <w:rPr>
          <w:rFonts w:ascii="宋体" w:hAnsi="宋体" w:eastAsia="宋体" w:cs="宋体"/>
          <w:sz w:val="23"/>
          <w:szCs w:val="23"/>
        </w:rPr>
      </w:pPr>
      <w:r>
        <w:rPr>
          <w:rFonts w:ascii="宋体" w:hAnsi="宋体" w:eastAsia="宋体" w:cs="宋体"/>
          <w:spacing w:val="8"/>
          <w:sz w:val="23"/>
          <w:szCs w:val="23"/>
        </w:rPr>
        <w:t>（三）团队需具备红色文化及烈士纪念日主题活动策划与执行经验、相关题材采写、</w:t>
      </w:r>
      <w:r>
        <w:rPr>
          <w:rFonts w:ascii="宋体" w:hAnsi="宋体" w:eastAsia="宋体" w:cs="宋体"/>
          <w:spacing w:val="2"/>
          <w:sz w:val="23"/>
          <w:szCs w:val="23"/>
        </w:rPr>
        <w:t>拍摄制作经验。</w:t>
      </w:r>
    </w:p>
    <w:p w14:paraId="0C5A5610">
      <w:pPr>
        <w:spacing w:line="236" w:lineRule="exact"/>
        <w:ind w:left="607"/>
        <w:outlineLvl w:val="2"/>
        <w:rPr>
          <w:rFonts w:ascii="微软雅黑" w:hAnsi="微软雅黑" w:eastAsia="微软雅黑" w:cs="微软雅黑"/>
          <w:sz w:val="23"/>
          <w:szCs w:val="23"/>
        </w:rPr>
      </w:pPr>
      <w:r>
        <w:rPr>
          <w:rFonts w:ascii="微软雅黑" w:hAnsi="微软雅黑" w:eastAsia="微软雅黑" w:cs="微软雅黑"/>
          <w:spacing w:val="8"/>
          <w:position w:val="-1"/>
          <w:sz w:val="23"/>
          <w:szCs w:val="23"/>
        </w:rPr>
        <w:t>五、商务要求</w:t>
      </w:r>
    </w:p>
    <w:p w14:paraId="183A576C">
      <w:pPr>
        <w:spacing w:before="142" w:line="313" w:lineRule="auto"/>
        <w:ind w:left="611" w:right="1585" w:firstLine="490"/>
        <w:rPr>
          <w:rFonts w:ascii="宋体" w:hAnsi="宋体" w:eastAsia="宋体" w:cs="宋体"/>
          <w:sz w:val="23"/>
          <w:szCs w:val="23"/>
        </w:rPr>
      </w:pPr>
      <w:r>
        <w:rPr>
          <w:rFonts w:ascii="宋体" w:hAnsi="宋体" w:eastAsia="宋体" w:cs="宋体"/>
          <w:spacing w:val="9"/>
          <w:sz w:val="23"/>
          <w:szCs w:val="23"/>
        </w:rPr>
        <w:t>（一）验收标准：本项目验收以采购人验收合格为准。活</w:t>
      </w:r>
      <w:r>
        <w:rPr>
          <w:rFonts w:ascii="宋体" w:hAnsi="宋体" w:eastAsia="宋体" w:cs="宋体"/>
          <w:spacing w:val="8"/>
          <w:sz w:val="23"/>
          <w:szCs w:val="23"/>
        </w:rPr>
        <w:t>动结束后，成交供应商</w:t>
      </w:r>
      <w:r>
        <w:rPr>
          <w:rFonts w:ascii="宋体" w:hAnsi="宋体" w:eastAsia="宋体" w:cs="宋体"/>
          <w:spacing w:val="9"/>
          <w:sz w:val="23"/>
          <w:szCs w:val="23"/>
        </w:rPr>
        <w:t>须向采购人交付完整活动成果资料（包括但不限于宣传片、主题视频、图文素材、活</w:t>
      </w:r>
      <w:r>
        <w:rPr>
          <w:rFonts w:ascii="宋体" w:hAnsi="宋体" w:eastAsia="宋体" w:cs="宋体"/>
          <w:spacing w:val="5"/>
          <w:sz w:val="23"/>
          <w:szCs w:val="23"/>
        </w:rPr>
        <w:t>动影像资料等）以用于审计。</w:t>
      </w:r>
    </w:p>
    <w:p w14:paraId="172723F1">
      <w:pPr>
        <w:spacing w:before="1" w:line="226" w:lineRule="auto"/>
        <w:ind w:left="621"/>
        <w:rPr>
          <w:rFonts w:ascii="宋体" w:hAnsi="宋体" w:eastAsia="宋体" w:cs="宋体"/>
          <w:sz w:val="23"/>
          <w:szCs w:val="23"/>
        </w:rPr>
      </w:pPr>
      <w:r>
        <w:rPr>
          <w:rFonts w:ascii="宋体" w:hAnsi="宋体" w:eastAsia="宋体" w:cs="宋体"/>
          <w:spacing w:val="7"/>
          <w:sz w:val="23"/>
          <w:szCs w:val="23"/>
        </w:rPr>
        <w:t>（二）</w:t>
      </w:r>
      <w:r>
        <w:rPr>
          <w:rFonts w:hint="eastAsia" w:ascii="宋体" w:hAnsi="宋体" w:eastAsia="宋体" w:cs="宋体"/>
          <w:spacing w:val="7"/>
          <w:sz w:val="23"/>
          <w:szCs w:val="23"/>
        </w:rPr>
        <w:t>服务期限</w:t>
      </w:r>
      <w:r>
        <w:rPr>
          <w:rFonts w:ascii="宋体" w:hAnsi="宋体" w:eastAsia="宋体" w:cs="宋体"/>
          <w:spacing w:val="7"/>
          <w:sz w:val="23"/>
          <w:szCs w:val="23"/>
        </w:rPr>
        <w:t>：</w:t>
      </w:r>
      <w:r>
        <w:rPr>
          <w:rFonts w:hint="eastAsia" w:ascii="宋体" w:hAnsi="宋体" w:eastAsia="宋体" w:cs="宋体"/>
          <w:spacing w:val="7"/>
          <w:sz w:val="23"/>
          <w:szCs w:val="23"/>
        </w:rPr>
        <w:t>自合同签订之日起至2026年10月8日，具体实施时间以甲方通知情况为准。</w:t>
      </w:r>
    </w:p>
    <w:p w14:paraId="04F5E440">
      <w:pPr>
        <w:spacing w:before="106" w:line="313" w:lineRule="auto"/>
        <w:ind w:left="611" w:right="1585" w:firstLine="10"/>
        <w:rPr>
          <w:rFonts w:ascii="宋体" w:hAnsi="宋体" w:eastAsia="宋体" w:cs="宋体"/>
          <w:sz w:val="23"/>
          <w:szCs w:val="23"/>
        </w:rPr>
      </w:pPr>
      <w:r>
        <w:rPr>
          <w:rFonts w:ascii="宋体" w:hAnsi="宋体" w:eastAsia="宋体" w:cs="宋体"/>
          <w:spacing w:val="9"/>
          <w:sz w:val="23"/>
          <w:szCs w:val="23"/>
        </w:rPr>
        <w:t>（三）付款方式：</w:t>
      </w:r>
      <w:r>
        <w:rPr>
          <w:rFonts w:hint="eastAsia" w:ascii="宋体" w:hAnsi="宋体" w:eastAsia="宋体" w:cs="宋体"/>
          <w:spacing w:val="9"/>
          <w:sz w:val="23"/>
          <w:szCs w:val="23"/>
        </w:rPr>
        <w:t>项目结束并经验收合格、审计完成后，待上级专项资金下达后一次性付清。本项目付款前，</w:t>
      </w:r>
      <w:r>
        <w:rPr>
          <w:rFonts w:hint="eastAsia" w:ascii="宋体" w:hAnsi="宋体" w:eastAsia="宋体" w:cs="宋体"/>
          <w:spacing w:val="9"/>
          <w:sz w:val="23"/>
          <w:szCs w:val="23"/>
          <w:lang w:val="en-US" w:eastAsia="zh-CN"/>
        </w:rPr>
        <w:t>供应商</w:t>
      </w:r>
      <w:r>
        <w:rPr>
          <w:rFonts w:hint="eastAsia" w:ascii="宋体" w:hAnsi="宋体" w:eastAsia="宋体" w:cs="宋体"/>
          <w:spacing w:val="9"/>
          <w:sz w:val="23"/>
          <w:szCs w:val="23"/>
        </w:rPr>
        <w:t>须提供等额发票，否则</w:t>
      </w:r>
      <w:r>
        <w:rPr>
          <w:rFonts w:hint="eastAsia" w:ascii="宋体" w:hAnsi="宋体" w:eastAsia="宋体" w:cs="宋体"/>
          <w:spacing w:val="9"/>
          <w:sz w:val="23"/>
          <w:szCs w:val="23"/>
          <w:lang w:val="en-US" w:eastAsia="zh-CN"/>
        </w:rPr>
        <w:t>采购人</w:t>
      </w:r>
      <w:r>
        <w:rPr>
          <w:rFonts w:hint="eastAsia" w:ascii="宋体" w:hAnsi="宋体" w:eastAsia="宋体" w:cs="宋体"/>
          <w:spacing w:val="9"/>
          <w:sz w:val="23"/>
          <w:szCs w:val="23"/>
        </w:rPr>
        <w:t>有权拒绝支付相应款项；本合同应支付总价款以审计单位确认金额为准。</w:t>
      </w:r>
    </w:p>
    <w:p w14:paraId="6F4DD957">
      <w:pPr>
        <w:spacing w:before="1" w:line="225" w:lineRule="auto"/>
        <w:ind w:left="621"/>
        <w:rPr>
          <w:rFonts w:ascii="宋体" w:hAnsi="宋体" w:eastAsia="宋体" w:cs="宋体"/>
          <w:sz w:val="23"/>
          <w:szCs w:val="23"/>
        </w:rPr>
      </w:pPr>
      <w:r>
        <w:rPr>
          <w:rFonts w:ascii="宋体" w:hAnsi="宋体" w:eastAsia="宋体" w:cs="宋体"/>
          <w:spacing w:val="1"/>
          <w:sz w:val="23"/>
          <w:szCs w:val="23"/>
        </w:rPr>
        <w:t>（四）异常低价处理：</w:t>
      </w:r>
    </w:p>
    <w:p w14:paraId="20996B34">
      <w:pPr>
        <w:spacing w:before="108" w:line="226" w:lineRule="auto"/>
        <w:ind w:left="612"/>
        <w:rPr>
          <w:rFonts w:ascii="宋体" w:hAnsi="宋体" w:eastAsia="宋体" w:cs="宋体"/>
          <w:sz w:val="23"/>
          <w:szCs w:val="23"/>
        </w:rPr>
      </w:pPr>
      <w:r>
        <w:rPr>
          <w:rFonts w:ascii="宋体" w:hAnsi="宋体" w:eastAsia="宋体" w:cs="宋体"/>
          <w:spacing w:val="7"/>
          <w:sz w:val="23"/>
          <w:szCs w:val="23"/>
        </w:rPr>
        <w:t>依据《关于推动解决政府采购异常低价问题的通知》（财库〔2026〕2号）的要求：</w:t>
      </w:r>
    </w:p>
    <w:p w14:paraId="5E4DD87F">
      <w:pPr>
        <w:spacing w:before="109" w:line="226" w:lineRule="auto"/>
        <w:ind w:left="609"/>
        <w:rPr>
          <w:rFonts w:ascii="宋体" w:hAnsi="宋体" w:eastAsia="宋体" w:cs="宋体"/>
          <w:sz w:val="23"/>
          <w:szCs w:val="23"/>
        </w:rPr>
      </w:pPr>
      <w:r>
        <w:rPr>
          <w:rFonts w:ascii="宋体" w:hAnsi="宋体" w:eastAsia="宋体" w:cs="宋体"/>
          <w:spacing w:val="7"/>
          <w:sz w:val="23"/>
          <w:szCs w:val="23"/>
        </w:rPr>
        <w:t>评审小组启动异常低价投标（响应）审查的情形和具体要求：</w:t>
      </w:r>
    </w:p>
    <w:p w14:paraId="16B4263A">
      <w:pPr>
        <w:spacing w:before="107" w:line="313" w:lineRule="auto"/>
        <w:ind w:left="610" w:right="1465" w:firstLine="11"/>
        <w:rPr>
          <w:rFonts w:ascii="宋体" w:hAnsi="宋体" w:eastAsia="宋体" w:cs="宋体"/>
          <w:sz w:val="23"/>
          <w:szCs w:val="23"/>
        </w:rPr>
      </w:pPr>
      <w:r>
        <w:rPr>
          <w:rFonts w:ascii="宋体" w:hAnsi="宋体" w:eastAsia="宋体" w:cs="宋体"/>
          <w:spacing w:val="9"/>
          <w:sz w:val="23"/>
          <w:szCs w:val="23"/>
        </w:rPr>
        <w:t>（1）采购人应当在采购文件中明确，政府采购评审中出现下列情形之一的，评审小组</w:t>
      </w:r>
      <w:r>
        <w:rPr>
          <w:rFonts w:ascii="宋体" w:hAnsi="宋体" w:eastAsia="宋体" w:cs="宋体"/>
          <w:spacing w:val="6"/>
          <w:sz w:val="23"/>
          <w:szCs w:val="23"/>
        </w:rPr>
        <w:t>应当启动异常低价投标（响应）审查程序：</w:t>
      </w:r>
    </w:p>
    <w:p w14:paraId="4EF6D105">
      <w:pPr>
        <w:spacing w:before="2" w:line="312" w:lineRule="auto"/>
        <w:ind w:left="627" w:right="1523" w:hanging="18"/>
        <w:rPr>
          <w:rFonts w:ascii="宋体" w:hAnsi="宋体" w:eastAsia="宋体" w:cs="宋体"/>
          <w:sz w:val="23"/>
          <w:szCs w:val="23"/>
        </w:rPr>
      </w:pPr>
      <w:r>
        <w:rPr>
          <w:rFonts w:ascii="宋体" w:hAnsi="宋体" w:eastAsia="宋体" w:cs="宋体"/>
          <w:spacing w:val="8"/>
          <w:sz w:val="23"/>
          <w:szCs w:val="23"/>
        </w:rPr>
        <w:t>①投标（响应）报价低于全部通过符合性审查供应商投标（</w:t>
      </w:r>
      <w:r>
        <w:rPr>
          <w:rFonts w:ascii="宋体" w:hAnsi="宋体" w:eastAsia="宋体" w:cs="宋体"/>
          <w:spacing w:val="7"/>
          <w:sz w:val="23"/>
          <w:szCs w:val="23"/>
        </w:rPr>
        <w:t>响应）报价平均值65%的，即投标（响应）报价&lt;全部通过符合性审查供应商投标（响应）报价平均值×6</w:t>
      </w:r>
      <w:r>
        <w:rPr>
          <w:rFonts w:ascii="宋体" w:hAnsi="宋体" w:eastAsia="宋体" w:cs="宋体"/>
          <w:spacing w:val="6"/>
          <w:sz w:val="23"/>
          <w:szCs w:val="23"/>
        </w:rPr>
        <w:t>5%；</w:t>
      </w:r>
    </w:p>
    <w:p w14:paraId="60F505FB">
      <w:pPr>
        <w:spacing w:before="2" w:line="312" w:lineRule="auto"/>
        <w:ind w:left="627" w:right="1523" w:hanging="19"/>
        <w:rPr>
          <w:rFonts w:ascii="宋体" w:hAnsi="宋体" w:eastAsia="宋体" w:cs="宋体"/>
          <w:sz w:val="23"/>
          <w:szCs w:val="23"/>
        </w:rPr>
      </w:pPr>
      <w:r>
        <w:rPr>
          <w:rFonts w:ascii="宋体" w:hAnsi="宋体" w:eastAsia="宋体" w:cs="宋体"/>
          <w:spacing w:val="8"/>
          <w:sz w:val="23"/>
          <w:szCs w:val="23"/>
        </w:rPr>
        <w:t>②投标（响应）报价低于通过符合性审查的次低报价供应商投</w:t>
      </w:r>
      <w:r>
        <w:rPr>
          <w:rFonts w:ascii="宋体" w:hAnsi="宋体" w:eastAsia="宋体" w:cs="宋体"/>
          <w:spacing w:val="7"/>
          <w:sz w:val="23"/>
          <w:szCs w:val="23"/>
        </w:rPr>
        <w:t>标（响应）报价65%的，即投标（响应）报价&lt;通过符合性审查的次低报价供应商投标（响应）报价×6</w:t>
      </w:r>
      <w:r>
        <w:rPr>
          <w:rFonts w:ascii="宋体" w:hAnsi="宋体" w:eastAsia="宋体" w:cs="宋体"/>
          <w:spacing w:val="6"/>
          <w:sz w:val="23"/>
          <w:szCs w:val="23"/>
        </w:rPr>
        <w:t>5%；</w:t>
      </w:r>
    </w:p>
    <w:p w14:paraId="26767B44">
      <w:pPr>
        <w:spacing w:before="2" w:line="312" w:lineRule="auto"/>
        <w:ind w:left="616" w:right="1585" w:hanging="8"/>
        <w:rPr>
          <w:rFonts w:ascii="宋体" w:hAnsi="宋体" w:eastAsia="宋体" w:cs="宋体"/>
          <w:sz w:val="23"/>
          <w:szCs w:val="23"/>
        </w:rPr>
      </w:pPr>
      <w:r>
        <w:rPr>
          <w:rFonts w:ascii="宋体" w:hAnsi="宋体" w:eastAsia="宋体" w:cs="宋体"/>
          <w:spacing w:val="9"/>
          <w:sz w:val="23"/>
          <w:szCs w:val="23"/>
        </w:rPr>
        <w:t>③投标（响应）报价低于采购项目最高限价65%的，即投标（响应）报价&lt;采购项目最</w:t>
      </w:r>
      <w:r>
        <w:rPr>
          <w:rFonts w:ascii="宋体" w:hAnsi="宋体" w:eastAsia="宋体" w:cs="宋体"/>
          <w:spacing w:val="-2"/>
          <w:sz w:val="23"/>
          <w:szCs w:val="23"/>
        </w:rPr>
        <w:t>高限价×65%；</w:t>
      </w:r>
    </w:p>
    <w:p w14:paraId="561CE74C">
      <w:pPr>
        <w:spacing w:before="2" w:line="312" w:lineRule="auto"/>
        <w:ind w:left="613" w:right="1585" w:hanging="5"/>
        <w:rPr>
          <w:rFonts w:ascii="宋体" w:hAnsi="宋体" w:eastAsia="宋体" w:cs="宋体"/>
          <w:sz w:val="23"/>
          <w:szCs w:val="23"/>
        </w:rPr>
      </w:pPr>
      <w:r>
        <w:rPr>
          <w:rFonts w:ascii="宋体" w:hAnsi="宋体" w:eastAsia="宋体" w:cs="宋体"/>
          <w:spacing w:val="10"/>
          <w:sz w:val="23"/>
          <w:szCs w:val="23"/>
        </w:rPr>
        <w:t>④评审小组基于专业判断，认为供应商报价过低</w:t>
      </w:r>
      <w:r>
        <w:rPr>
          <w:rFonts w:ascii="宋体" w:hAnsi="宋体" w:eastAsia="宋体" w:cs="宋体"/>
          <w:spacing w:val="9"/>
          <w:sz w:val="23"/>
          <w:szCs w:val="23"/>
        </w:rPr>
        <w:t>，有可能影响产品质量或者不能诚信</w:t>
      </w:r>
      <w:r>
        <w:rPr>
          <w:rFonts w:ascii="宋体" w:hAnsi="宋体" w:eastAsia="宋体" w:cs="宋体"/>
          <w:spacing w:val="3"/>
          <w:sz w:val="23"/>
          <w:szCs w:val="23"/>
        </w:rPr>
        <w:t>履约的其他情形。</w:t>
      </w:r>
    </w:p>
    <w:p w14:paraId="5A99BC28">
      <w:pPr>
        <w:spacing w:before="2" w:line="313" w:lineRule="auto"/>
        <w:ind w:left="610" w:right="1475" w:firstLine="11"/>
        <w:rPr>
          <w:rFonts w:ascii="宋体" w:hAnsi="宋体" w:eastAsia="宋体" w:cs="宋体"/>
          <w:sz w:val="23"/>
          <w:szCs w:val="23"/>
        </w:rPr>
      </w:pPr>
      <w:r>
        <w:rPr>
          <w:rFonts w:ascii="宋体" w:hAnsi="宋体" w:eastAsia="宋体" w:cs="宋体"/>
          <w:spacing w:val="9"/>
          <w:sz w:val="23"/>
          <w:szCs w:val="23"/>
        </w:rPr>
        <w:t>（2）评审小组启动异常低价投标（响应）审查后，</w:t>
      </w:r>
      <w:r>
        <w:rPr>
          <w:rFonts w:ascii="宋体" w:hAnsi="宋体" w:eastAsia="宋体" w:cs="宋体"/>
          <w:spacing w:val="8"/>
          <w:sz w:val="23"/>
          <w:szCs w:val="23"/>
        </w:rPr>
        <w:t>属于前述第1项至第4项情形的，应</w:t>
      </w:r>
      <w:r>
        <w:rPr>
          <w:rFonts w:ascii="宋体" w:hAnsi="宋体" w:eastAsia="宋体" w:cs="宋体"/>
          <w:spacing w:val="10"/>
          <w:sz w:val="23"/>
          <w:szCs w:val="23"/>
        </w:rPr>
        <w:t>当要求相关供应商在评审现场合理的时间内</w:t>
      </w:r>
      <w:r>
        <w:rPr>
          <w:rFonts w:ascii="宋体" w:hAnsi="宋体" w:eastAsia="宋体" w:cs="宋体"/>
          <w:spacing w:val="9"/>
          <w:sz w:val="23"/>
          <w:szCs w:val="23"/>
        </w:rPr>
        <w:t>对投标（响应）价格作出解释，提供项目</w:t>
      </w:r>
      <w:r>
        <w:rPr>
          <w:rFonts w:ascii="宋体" w:hAnsi="宋体" w:eastAsia="宋体" w:cs="宋体"/>
          <w:spacing w:val="10"/>
          <w:sz w:val="23"/>
          <w:szCs w:val="23"/>
        </w:rPr>
        <w:t>具体成本测算等与报价合理性相关的书面说</w:t>
      </w:r>
      <w:r>
        <w:rPr>
          <w:rFonts w:ascii="宋体" w:hAnsi="宋体" w:eastAsia="宋体" w:cs="宋体"/>
          <w:spacing w:val="9"/>
          <w:sz w:val="23"/>
          <w:szCs w:val="23"/>
        </w:rPr>
        <w:t>明及必要的证明材料，包括但不限于原材料成本、人工成本、制造费用等，给予相关供应商的合理时间一般不少于30分钟。其</w:t>
      </w:r>
    </w:p>
    <w:p w14:paraId="608A3FC4">
      <w:pPr>
        <w:spacing w:line="313" w:lineRule="auto"/>
        <w:rPr>
          <w:rFonts w:ascii="宋体" w:hAnsi="宋体" w:eastAsia="宋体" w:cs="宋体"/>
          <w:sz w:val="23"/>
          <w:szCs w:val="23"/>
        </w:rPr>
        <w:sectPr>
          <w:headerReference r:id="rId22" w:type="default"/>
          <w:footerReference r:id="rId23" w:type="default"/>
          <w:pgSz w:w="11900" w:h="16839"/>
          <w:pgMar w:top="518" w:right="0" w:bottom="432" w:left="839" w:header="241" w:footer="147" w:gutter="0"/>
          <w:cols w:space="720" w:num="1"/>
        </w:sectPr>
      </w:pPr>
    </w:p>
    <w:p w14:paraId="23228209">
      <w:pPr>
        <w:pStyle w:val="3"/>
        <w:spacing w:line="322" w:lineRule="auto"/>
      </w:pPr>
    </w:p>
    <w:p w14:paraId="25CCE8CA">
      <w:pPr>
        <w:spacing w:before="75" w:line="313" w:lineRule="auto"/>
        <w:ind w:left="633" w:right="1465"/>
        <w:rPr>
          <w:rFonts w:ascii="宋体" w:hAnsi="宋体" w:eastAsia="宋体" w:cs="宋体"/>
          <w:sz w:val="23"/>
          <w:szCs w:val="23"/>
        </w:rPr>
      </w:pPr>
      <w:r>
        <w:rPr>
          <w:rFonts w:ascii="宋体" w:hAnsi="宋体" w:eastAsia="宋体" w:cs="宋体"/>
          <w:spacing w:val="9"/>
          <w:sz w:val="23"/>
          <w:szCs w:val="23"/>
        </w:rPr>
        <w:t>中，属于第3项情形，供应商已随投标（响应）文件一并提交相关书</w:t>
      </w:r>
      <w:r>
        <w:rPr>
          <w:rFonts w:ascii="宋体" w:hAnsi="宋体" w:eastAsia="宋体" w:cs="宋体"/>
          <w:spacing w:val="8"/>
          <w:sz w:val="23"/>
          <w:szCs w:val="23"/>
        </w:rPr>
        <w:t>面说明及必要的证</w:t>
      </w:r>
      <w:r>
        <w:rPr>
          <w:rFonts w:ascii="宋体" w:hAnsi="宋体" w:eastAsia="宋体" w:cs="宋体"/>
          <w:spacing w:val="5"/>
          <w:sz w:val="23"/>
          <w:szCs w:val="23"/>
        </w:rPr>
        <w:t>明材料的，在评审现场可不再重复提交。</w:t>
      </w:r>
    </w:p>
    <w:p w14:paraId="2DB5B9F6">
      <w:pPr>
        <w:spacing w:line="225" w:lineRule="auto"/>
        <w:ind w:left="609"/>
        <w:rPr>
          <w:rFonts w:ascii="宋体" w:hAnsi="宋体" w:eastAsia="宋体" w:cs="宋体"/>
          <w:sz w:val="23"/>
          <w:szCs w:val="23"/>
        </w:rPr>
      </w:pPr>
      <w:r>
        <w:rPr>
          <w:rFonts w:ascii="宋体" w:hAnsi="宋体" w:eastAsia="宋体" w:cs="宋体"/>
          <w:spacing w:val="10"/>
          <w:sz w:val="23"/>
          <w:szCs w:val="23"/>
        </w:rPr>
        <w:t>评审小组会依据专业经验，参考同类项目中</w:t>
      </w:r>
      <w:r>
        <w:rPr>
          <w:rFonts w:ascii="宋体" w:hAnsi="宋体" w:eastAsia="宋体" w:cs="宋体"/>
          <w:spacing w:val="9"/>
          <w:sz w:val="23"/>
          <w:szCs w:val="23"/>
        </w:rPr>
        <w:t>标（成交）价格、类似产品市场价格水</w:t>
      </w:r>
    </w:p>
    <w:p w14:paraId="364347B1">
      <w:pPr>
        <w:spacing w:before="107" w:line="313" w:lineRule="auto"/>
        <w:ind w:left="608" w:right="1585"/>
        <w:rPr>
          <w:rFonts w:ascii="宋体" w:hAnsi="宋体" w:eastAsia="宋体" w:cs="宋体"/>
          <w:sz w:val="23"/>
          <w:szCs w:val="23"/>
        </w:rPr>
      </w:pPr>
      <w:r>
        <w:rPr>
          <w:rFonts w:ascii="宋体" w:hAnsi="宋体" w:eastAsia="宋体" w:cs="宋体"/>
          <w:spacing w:val="10"/>
          <w:sz w:val="23"/>
          <w:szCs w:val="23"/>
        </w:rPr>
        <w:t>平、行业人工费用标准、国家有关部门指导行</w:t>
      </w:r>
      <w:r>
        <w:rPr>
          <w:rFonts w:ascii="宋体" w:hAnsi="宋体" w:eastAsia="宋体" w:cs="宋体"/>
          <w:spacing w:val="9"/>
          <w:sz w:val="23"/>
          <w:szCs w:val="23"/>
        </w:rPr>
        <w:t>业协会发布的行业平均成本等情况，对</w:t>
      </w:r>
      <w:r>
        <w:rPr>
          <w:rFonts w:ascii="宋体" w:hAnsi="宋体" w:eastAsia="宋体" w:cs="宋体"/>
          <w:spacing w:val="10"/>
          <w:sz w:val="23"/>
          <w:szCs w:val="23"/>
        </w:rPr>
        <w:t>报价合理性进行判断。投标（响应）供应商不能</w:t>
      </w:r>
      <w:r>
        <w:rPr>
          <w:rFonts w:ascii="宋体" w:hAnsi="宋体" w:eastAsia="宋体" w:cs="宋体"/>
          <w:spacing w:val="9"/>
          <w:sz w:val="23"/>
          <w:szCs w:val="23"/>
        </w:rPr>
        <w:t>提供书面说明、证明材料，或者提供</w:t>
      </w:r>
      <w:r>
        <w:rPr>
          <w:rFonts w:ascii="宋体" w:hAnsi="宋体" w:eastAsia="宋体" w:cs="宋体"/>
          <w:spacing w:val="10"/>
          <w:sz w:val="23"/>
          <w:szCs w:val="23"/>
        </w:rPr>
        <w:t>的书面说明、证明材料不能证明其报价合理性</w:t>
      </w:r>
      <w:r>
        <w:rPr>
          <w:rFonts w:ascii="宋体" w:hAnsi="宋体" w:eastAsia="宋体" w:cs="宋体"/>
          <w:spacing w:val="9"/>
          <w:sz w:val="23"/>
          <w:szCs w:val="23"/>
        </w:rPr>
        <w:t>的，评审小组应当将其作为无效投标</w:t>
      </w:r>
    </w:p>
    <w:p w14:paraId="505985B3">
      <w:pPr>
        <w:spacing w:line="229" w:lineRule="auto"/>
        <w:ind w:left="621"/>
        <w:rPr>
          <w:rFonts w:ascii="宋体" w:hAnsi="宋体" w:eastAsia="宋体" w:cs="宋体"/>
          <w:sz w:val="23"/>
          <w:szCs w:val="23"/>
        </w:rPr>
      </w:pPr>
      <w:r>
        <w:rPr>
          <w:rFonts w:ascii="宋体" w:hAnsi="宋体" w:eastAsia="宋体" w:cs="宋体"/>
          <w:spacing w:val="1"/>
          <w:sz w:val="23"/>
          <w:szCs w:val="23"/>
        </w:rPr>
        <w:t>（响应）处理。</w:t>
      </w:r>
    </w:p>
    <w:p w14:paraId="35D8FF68">
      <w:pPr>
        <w:spacing w:before="104" w:line="226" w:lineRule="auto"/>
        <w:ind w:left="621"/>
        <w:rPr>
          <w:rFonts w:ascii="宋体" w:hAnsi="宋体" w:eastAsia="宋体" w:cs="宋体"/>
          <w:sz w:val="23"/>
          <w:szCs w:val="23"/>
        </w:rPr>
      </w:pPr>
      <w:r>
        <w:rPr>
          <w:rFonts w:ascii="宋体" w:hAnsi="宋体" w:eastAsia="宋体" w:cs="宋体"/>
          <w:spacing w:val="-1"/>
          <w:sz w:val="23"/>
          <w:szCs w:val="23"/>
        </w:rPr>
        <w:t>（五）报价要求：</w:t>
      </w:r>
    </w:p>
    <w:p w14:paraId="3F58F568">
      <w:pPr>
        <w:spacing w:before="107" w:line="313" w:lineRule="auto"/>
        <w:ind w:left="610" w:right="1585"/>
        <w:rPr>
          <w:rFonts w:ascii="宋体" w:hAnsi="宋体" w:eastAsia="宋体" w:cs="宋体"/>
          <w:sz w:val="23"/>
          <w:szCs w:val="23"/>
        </w:rPr>
      </w:pPr>
      <w:r>
        <w:rPr>
          <w:rFonts w:ascii="宋体" w:hAnsi="宋体" w:eastAsia="宋体" w:cs="宋体"/>
          <w:spacing w:val="10"/>
          <w:sz w:val="23"/>
          <w:szCs w:val="23"/>
        </w:rPr>
        <w:t>供应商报价包含但不仅限于活动策划、设计</w:t>
      </w:r>
      <w:r>
        <w:rPr>
          <w:rFonts w:ascii="宋体" w:hAnsi="宋体" w:eastAsia="宋体" w:cs="宋体"/>
          <w:spacing w:val="9"/>
          <w:sz w:val="23"/>
          <w:szCs w:val="23"/>
        </w:rPr>
        <w:t>、宣传、活动现场搭建、撤除费用、保障</w:t>
      </w:r>
      <w:r>
        <w:rPr>
          <w:rFonts w:ascii="宋体" w:hAnsi="宋体" w:eastAsia="宋体" w:cs="宋体"/>
          <w:spacing w:val="10"/>
          <w:sz w:val="23"/>
          <w:szCs w:val="23"/>
        </w:rPr>
        <w:t>物料运输、保险费用、活动配套宣传品设计</w:t>
      </w:r>
      <w:r>
        <w:rPr>
          <w:rFonts w:ascii="宋体" w:hAnsi="宋体" w:eastAsia="宋体" w:cs="宋体"/>
          <w:spacing w:val="9"/>
          <w:sz w:val="23"/>
          <w:szCs w:val="23"/>
        </w:rPr>
        <w:t>、制作费、网上活动制作费用、活动布置</w:t>
      </w:r>
      <w:r>
        <w:rPr>
          <w:rFonts w:ascii="宋体" w:hAnsi="宋体" w:eastAsia="宋体" w:cs="宋体"/>
          <w:spacing w:val="10"/>
          <w:sz w:val="23"/>
          <w:szCs w:val="23"/>
        </w:rPr>
        <w:t>费用、服务保障费用、活动物料、布置费、</w:t>
      </w:r>
      <w:r>
        <w:rPr>
          <w:rFonts w:ascii="宋体" w:hAnsi="宋体" w:eastAsia="宋体" w:cs="宋体"/>
          <w:spacing w:val="9"/>
          <w:sz w:val="23"/>
          <w:szCs w:val="23"/>
        </w:rPr>
        <w:t>活动维护费、活动期间人工费、税费等所</w:t>
      </w:r>
      <w:r>
        <w:rPr>
          <w:rFonts w:ascii="宋体" w:hAnsi="宋体" w:eastAsia="宋体" w:cs="宋体"/>
          <w:spacing w:val="5"/>
          <w:sz w:val="23"/>
          <w:szCs w:val="23"/>
        </w:rPr>
        <w:t>有费用，应充分考虑所有可能影响到报价的价格及政策等风险因素。</w:t>
      </w:r>
      <w:r>
        <w:rPr>
          <w:rFonts w:ascii="宋体" w:hAnsi="宋体" w:eastAsia="宋体" w:cs="宋体"/>
          <w:spacing w:val="52"/>
          <w:sz w:val="23"/>
          <w:szCs w:val="23"/>
        </w:rPr>
        <w:t xml:space="preserve"> </w:t>
      </w:r>
      <w:r>
        <w:rPr>
          <w:rFonts w:ascii="宋体" w:hAnsi="宋体" w:eastAsia="宋体" w:cs="宋体"/>
          <w:spacing w:val="5"/>
          <w:sz w:val="23"/>
          <w:szCs w:val="23"/>
        </w:rPr>
        <w:t>一旦成交，总价</w:t>
      </w:r>
      <w:r>
        <w:rPr>
          <w:rFonts w:ascii="宋体" w:hAnsi="宋体" w:eastAsia="宋体" w:cs="宋体"/>
          <w:spacing w:val="8"/>
          <w:sz w:val="23"/>
          <w:szCs w:val="23"/>
        </w:rPr>
        <w:t>包定，如超过成交价格视为成交供应商让利，不增加任何费用。</w:t>
      </w:r>
    </w:p>
    <w:p w14:paraId="292B5D1D">
      <w:pPr>
        <w:spacing w:before="2" w:line="312" w:lineRule="auto"/>
        <w:ind w:left="609" w:right="1585"/>
        <w:rPr>
          <w:rFonts w:ascii="宋体" w:hAnsi="宋体" w:eastAsia="宋体" w:cs="宋体"/>
          <w:sz w:val="23"/>
          <w:szCs w:val="23"/>
        </w:rPr>
      </w:pPr>
      <w:r>
        <w:rPr>
          <w:rFonts w:ascii="宋体" w:hAnsi="宋体" w:eastAsia="宋体" w:cs="宋体"/>
          <w:spacing w:val="10"/>
          <w:sz w:val="23"/>
          <w:szCs w:val="23"/>
        </w:rPr>
        <w:t>供应商的任何错漏、优惠、竞争性报价不得</w:t>
      </w:r>
      <w:r>
        <w:rPr>
          <w:rFonts w:ascii="宋体" w:hAnsi="宋体" w:eastAsia="宋体" w:cs="宋体"/>
          <w:spacing w:val="9"/>
          <w:sz w:val="23"/>
          <w:szCs w:val="23"/>
        </w:rPr>
        <w:t>作为减轻责任、减少服务、增加收费、降</w:t>
      </w:r>
      <w:r>
        <w:rPr>
          <w:rFonts w:ascii="宋体" w:hAnsi="宋体" w:eastAsia="宋体" w:cs="宋体"/>
          <w:spacing w:val="2"/>
          <w:sz w:val="23"/>
          <w:szCs w:val="23"/>
        </w:rPr>
        <w:t>低质量的理由。</w:t>
      </w:r>
    </w:p>
    <w:p w14:paraId="6F64296F">
      <w:pPr>
        <w:spacing w:before="2" w:line="312" w:lineRule="auto"/>
        <w:ind w:left="610" w:right="1585"/>
        <w:rPr>
          <w:rFonts w:ascii="宋体" w:hAnsi="宋体" w:eastAsia="宋体" w:cs="宋体"/>
          <w:sz w:val="23"/>
          <w:szCs w:val="23"/>
        </w:rPr>
      </w:pPr>
      <w:r>
        <w:rPr>
          <w:rFonts w:ascii="宋体" w:hAnsi="宋体" w:eastAsia="宋体" w:cs="宋体"/>
          <w:spacing w:val="10"/>
          <w:sz w:val="23"/>
          <w:szCs w:val="23"/>
        </w:rPr>
        <w:t>供应商报价除包含采购人文件中列明的项目</w:t>
      </w:r>
      <w:r>
        <w:rPr>
          <w:rFonts w:ascii="宋体" w:hAnsi="宋体" w:eastAsia="宋体" w:cs="宋体"/>
          <w:spacing w:val="9"/>
          <w:sz w:val="23"/>
          <w:szCs w:val="23"/>
        </w:rPr>
        <w:t>外还应包括保障服务正常运行应当具有的物资和服务，对服务正常运行应当具有的物资和服务理解不一致的以采购人理解为</w:t>
      </w:r>
    </w:p>
    <w:p w14:paraId="23062B59">
      <w:pPr>
        <w:spacing w:line="228" w:lineRule="auto"/>
        <w:ind w:left="612"/>
        <w:rPr>
          <w:rFonts w:ascii="宋体" w:hAnsi="宋体" w:eastAsia="宋体" w:cs="宋体"/>
          <w:sz w:val="23"/>
          <w:szCs w:val="23"/>
        </w:rPr>
      </w:pPr>
      <w:r>
        <w:rPr>
          <w:rFonts w:ascii="宋体" w:hAnsi="宋体" w:eastAsia="宋体" w:cs="宋体"/>
          <w:spacing w:val="-8"/>
          <w:sz w:val="23"/>
          <w:szCs w:val="23"/>
        </w:rPr>
        <w:t>准。</w:t>
      </w:r>
    </w:p>
    <w:p w14:paraId="74821E42">
      <w:pPr>
        <w:spacing w:before="105" w:line="227" w:lineRule="auto"/>
        <w:ind w:left="621"/>
        <w:rPr>
          <w:rFonts w:ascii="宋体" w:hAnsi="宋体" w:eastAsia="宋体" w:cs="宋体"/>
          <w:sz w:val="23"/>
          <w:szCs w:val="23"/>
        </w:rPr>
      </w:pPr>
      <w:r>
        <w:rPr>
          <w:rFonts w:ascii="宋体" w:hAnsi="宋体" w:eastAsia="宋体" w:cs="宋体"/>
          <w:spacing w:val="-1"/>
          <w:sz w:val="23"/>
          <w:szCs w:val="23"/>
        </w:rPr>
        <w:t>（六）其他说明：</w:t>
      </w:r>
    </w:p>
    <w:p w14:paraId="3E037A3E">
      <w:pPr>
        <w:spacing w:before="107" w:line="313" w:lineRule="auto"/>
        <w:ind w:left="609" w:right="1585"/>
        <w:rPr>
          <w:rFonts w:ascii="宋体" w:hAnsi="宋体" w:eastAsia="宋体" w:cs="宋体"/>
          <w:sz w:val="23"/>
          <w:szCs w:val="23"/>
        </w:rPr>
      </w:pPr>
      <w:r>
        <w:rPr>
          <w:rFonts w:ascii="宋体" w:hAnsi="宋体" w:eastAsia="宋体" w:cs="宋体"/>
          <w:spacing w:val="10"/>
          <w:sz w:val="23"/>
          <w:szCs w:val="23"/>
        </w:rPr>
        <w:t>供应商需提供活动所需的全部耗材，且耗材</w:t>
      </w:r>
      <w:r>
        <w:rPr>
          <w:rFonts w:ascii="宋体" w:hAnsi="宋体" w:eastAsia="宋体" w:cs="宋体"/>
          <w:spacing w:val="9"/>
          <w:sz w:val="23"/>
          <w:szCs w:val="23"/>
        </w:rPr>
        <w:t>需经主办方进行验收，验收合格后方可投</w:t>
      </w:r>
      <w:r>
        <w:rPr>
          <w:rFonts w:ascii="宋体" w:hAnsi="宋体" w:eastAsia="宋体" w:cs="宋体"/>
          <w:spacing w:val="-2"/>
          <w:sz w:val="23"/>
          <w:szCs w:val="23"/>
        </w:rPr>
        <w:t>入使用。</w:t>
      </w:r>
    </w:p>
    <w:p w14:paraId="0A4ABE01">
      <w:pPr>
        <w:spacing w:before="2" w:line="312" w:lineRule="auto"/>
        <w:ind w:left="633" w:right="1585" w:hanging="23"/>
        <w:rPr>
          <w:rFonts w:ascii="宋体" w:hAnsi="宋体" w:eastAsia="宋体" w:cs="宋体"/>
          <w:sz w:val="23"/>
          <w:szCs w:val="23"/>
        </w:rPr>
      </w:pPr>
      <w:r>
        <w:rPr>
          <w:rFonts w:ascii="宋体" w:hAnsi="宋体" w:eastAsia="宋体" w:cs="宋体"/>
          <w:spacing w:val="10"/>
          <w:sz w:val="23"/>
          <w:szCs w:val="23"/>
        </w:rPr>
        <w:t>供应商在服务过程中需遵守采购人及主办方</w:t>
      </w:r>
      <w:r>
        <w:rPr>
          <w:rFonts w:ascii="宋体" w:hAnsi="宋体" w:eastAsia="宋体" w:cs="宋体"/>
          <w:spacing w:val="9"/>
          <w:sz w:val="23"/>
          <w:szCs w:val="23"/>
        </w:rPr>
        <w:t>的各种管理规定，各种方案、设计等未经</w:t>
      </w:r>
      <w:r>
        <w:rPr>
          <w:rFonts w:ascii="宋体" w:hAnsi="宋体" w:eastAsia="宋体" w:cs="宋体"/>
          <w:spacing w:val="1"/>
          <w:sz w:val="23"/>
          <w:szCs w:val="23"/>
        </w:rPr>
        <w:t>同意的不允许实施。</w:t>
      </w:r>
    </w:p>
    <w:p w14:paraId="42E9AC6D">
      <w:pPr>
        <w:spacing w:before="1" w:line="312" w:lineRule="auto"/>
        <w:ind w:left="616" w:right="1585" w:hanging="6"/>
        <w:rPr>
          <w:rFonts w:ascii="宋体" w:hAnsi="宋体" w:eastAsia="宋体" w:cs="宋体"/>
          <w:sz w:val="23"/>
          <w:szCs w:val="23"/>
        </w:rPr>
      </w:pPr>
      <w:r>
        <w:rPr>
          <w:rFonts w:ascii="宋体" w:hAnsi="宋体" w:eastAsia="宋体" w:cs="宋体"/>
          <w:spacing w:val="10"/>
          <w:sz w:val="23"/>
          <w:szCs w:val="23"/>
        </w:rPr>
        <w:t>供应商在服务过程中需保证现场周边环境的</w:t>
      </w:r>
      <w:r>
        <w:rPr>
          <w:rFonts w:ascii="宋体" w:hAnsi="宋体" w:eastAsia="宋体" w:cs="宋体"/>
          <w:spacing w:val="9"/>
          <w:sz w:val="23"/>
          <w:szCs w:val="23"/>
        </w:rPr>
        <w:t>整洁，不准破坏公共财物，如若破坏需恢</w:t>
      </w:r>
      <w:r>
        <w:rPr>
          <w:rFonts w:ascii="宋体" w:hAnsi="宋体" w:eastAsia="宋体" w:cs="宋体"/>
          <w:spacing w:val="3"/>
          <w:sz w:val="23"/>
          <w:szCs w:val="23"/>
        </w:rPr>
        <w:t>复原状或照价赔偿。</w:t>
      </w:r>
    </w:p>
    <w:p w14:paraId="3B6E0728">
      <w:pPr>
        <w:spacing w:before="2" w:line="312" w:lineRule="auto"/>
        <w:ind w:left="610" w:right="1585"/>
        <w:rPr>
          <w:rFonts w:ascii="宋体" w:hAnsi="宋体" w:eastAsia="宋体" w:cs="宋体"/>
          <w:sz w:val="23"/>
          <w:szCs w:val="23"/>
        </w:rPr>
      </w:pPr>
      <w:r>
        <w:rPr>
          <w:rFonts w:ascii="宋体" w:hAnsi="宋体" w:eastAsia="宋体" w:cs="宋体"/>
          <w:spacing w:val="10"/>
          <w:sz w:val="23"/>
          <w:szCs w:val="23"/>
        </w:rPr>
        <w:t>供应商在服务过程中需抓好各项安全工作，</w:t>
      </w:r>
      <w:r>
        <w:rPr>
          <w:rFonts w:ascii="宋体" w:hAnsi="宋体" w:eastAsia="宋体" w:cs="宋体"/>
          <w:spacing w:val="9"/>
          <w:sz w:val="23"/>
          <w:szCs w:val="23"/>
        </w:rPr>
        <w:t>所有由供应商引起的安全责任均由供应商</w:t>
      </w:r>
      <w:r>
        <w:rPr>
          <w:rFonts w:ascii="宋体" w:hAnsi="宋体" w:eastAsia="宋体" w:cs="宋体"/>
          <w:spacing w:val="-5"/>
          <w:sz w:val="23"/>
          <w:szCs w:val="23"/>
        </w:rPr>
        <w:t>承担。</w:t>
      </w:r>
    </w:p>
    <w:p w14:paraId="767E1732">
      <w:pPr>
        <w:spacing w:before="2" w:line="312" w:lineRule="auto"/>
        <w:ind w:left="611" w:right="1585" w:firstLine="1"/>
        <w:rPr>
          <w:rFonts w:ascii="宋体" w:hAnsi="宋体" w:eastAsia="宋体" w:cs="宋体"/>
          <w:sz w:val="23"/>
          <w:szCs w:val="23"/>
        </w:rPr>
      </w:pPr>
      <w:r>
        <w:rPr>
          <w:rFonts w:ascii="宋体" w:hAnsi="宋体" w:eastAsia="宋体" w:cs="宋体"/>
          <w:spacing w:val="9"/>
          <w:sz w:val="23"/>
          <w:szCs w:val="23"/>
        </w:rPr>
        <w:t>为全力保障活动的顺利开展，活动举办时供应商需配备充足的保障人员、相关的物资</w:t>
      </w:r>
      <w:r>
        <w:rPr>
          <w:rFonts w:ascii="宋体" w:hAnsi="宋体" w:eastAsia="宋体" w:cs="宋体"/>
          <w:spacing w:val="5"/>
          <w:sz w:val="23"/>
          <w:szCs w:val="23"/>
        </w:rPr>
        <w:t>耗材以及主要的设备设施。</w:t>
      </w:r>
    </w:p>
    <w:p w14:paraId="646540D3">
      <w:pPr>
        <w:spacing w:before="2" w:line="312" w:lineRule="auto"/>
        <w:ind w:left="612" w:right="1585" w:firstLine="20"/>
        <w:rPr>
          <w:rFonts w:ascii="宋体" w:hAnsi="宋体" w:eastAsia="宋体" w:cs="宋体"/>
          <w:sz w:val="23"/>
          <w:szCs w:val="23"/>
        </w:rPr>
      </w:pPr>
      <w:r>
        <w:rPr>
          <w:rFonts w:ascii="宋体" w:hAnsi="宋体" w:eastAsia="宋体" w:cs="宋体"/>
          <w:spacing w:val="9"/>
          <w:sz w:val="23"/>
          <w:szCs w:val="23"/>
        </w:rPr>
        <w:t>中标供应商需在采购人和主办方的要求下进行方案调整或优化，若需组织专</w:t>
      </w:r>
      <w:r>
        <w:rPr>
          <w:rFonts w:ascii="宋体" w:hAnsi="宋体" w:eastAsia="宋体" w:cs="宋体"/>
          <w:spacing w:val="8"/>
          <w:sz w:val="23"/>
          <w:szCs w:val="23"/>
        </w:rPr>
        <w:t>家会审方</w:t>
      </w:r>
      <w:r>
        <w:rPr>
          <w:rFonts w:ascii="宋体" w:hAnsi="宋体" w:eastAsia="宋体" w:cs="宋体"/>
          <w:spacing w:val="7"/>
          <w:sz w:val="23"/>
          <w:szCs w:val="23"/>
        </w:rPr>
        <w:t>案，产生的相关费用包含在合同总价内由供应商支付。</w:t>
      </w:r>
    </w:p>
    <w:p w14:paraId="00DB91F2">
      <w:pPr>
        <w:spacing w:before="2" w:line="312" w:lineRule="auto"/>
        <w:ind w:left="613" w:right="1825"/>
        <w:rPr>
          <w:rFonts w:ascii="宋体" w:hAnsi="宋体" w:eastAsia="宋体" w:cs="宋体"/>
          <w:sz w:val="23"/>
          <w:szCs w:val="23"/>
        </w:rPr>
      </w:pPr>
      <w:r>
        <w:rPr>
          <w:rFonts w:ascii="宋体" w:hAnsi="宋体" w:eastAsia="宋体" w:cs="宋体"/>
          <w:spacing w:val="9"/>
          <w:sz w:val="23"/>
          <w:szCs w:val="23"/>
        </w:rPr>
        <w:t>活动结束后中标供应商需及时拆除搭建的舞台以及其他设备设施，并将现场清理干</w:t>
      </w:r>
      <w:r>
        <w:rPr>
          <w:rFonts w:ascii="宋体" w:hAnsi="宋体" w:eastAsia="宋体" w:cs="宋体"/>
          <w:spacing w:val="-9"/>
          <w:sz w:val="23"/>
          <w:szCs w:val="23"/>
        </w:rPr>
        <w:t>净。</w:t>
      </w:r>
    </w:p>
    <w:p w14:paraId="27281456">
      <w:pPr>
        <w:spacing w:before="3" w:line="312" w:lineRule="auto"/>
        <w:ind w:left="609" w:right="1585" w:firstLine="4"/>
        <w:rPr>
          <w:rFonts w:ascii="宋体" w:hAnsi="宋体" w:eastAsia="宋体" w:cs="宋体"/>
          <w:sz w:val="23"/>
          <w:szCs w:val="23"/>
        </w:rPr>
      </w:pPr>
      <w:r>
        <w:rPr>
          <w:rFonts w:ascii="宋体" w:hAnsi="宋体" w:eastAsia="宋体" w:cs="宋体"/>
          <w:spacing w:val="9"/>
          <w:sz w:val="23"/>
          <w:szCs w:val="23"/>
        </w:rPr>
        <w:t>活动结束后，中标供应商需将服务过程中涉及到的所有方案、设计、文字稿件、视频</w:t>
      </w:r>
      <w:r>
        <w:rPr>
          <w:rFonts w:ascii="宋体" w:hAnsi="宋体" w:eastAsia="宋体" w:cs="宋体"/>
          <w:spacing w:val="10"/>
          <w:sz w:val="23"/>
          <w:szCs w:val="23"/>
        </w:rPr>
        <w:t>资料、宣传资料等文件的电子档和有关纸质版</w:t>
      </w:r>
      <w:r>
        <w:rPr>
          <w:rFonts w:ascii="宋体" w:hAnsi="宋体" w:eastAsia="宋体" w:cs="宋体"/>
          <w:spacing w:val="9"/>
          <w:sz w:val="23"/>
          <w:szCs w:val="23"/>
        </w:rPr>
        <w:t>移交给采购人，所有权以及使用权均归</w:t>
      </w:r>
      <w:r>
        <w:rPr>
          <w:rFonts w:ascii="宋体" w:hAnsi="宋体" w:eastAsia="宋体" w:cs="宋体"/>
          <w:spacing w:val="1"/>
          <w:sz w:val="23"/>
          <w:szCs w:val="23"/>
        </w:rPr>
        <w:t>采购人所有。</w:t>
      </w:r>
    </w:p>
    <w:p w14:paraId="3278EC80">
      <w:pPr>
        <w:spacing w:before="1" w:line="226" w:lineRule="auto"/>
        <w:ind w:left="612"/>
        <w:rPr>
          <w:rFonts w:ascii="宋体" w:hAnsi="宋体" w:eastAsia="宋体" w:cs="宋体"/>
          <w:sz w:val="23"/>
          <w:szCs w:val="23"/>
        </w:rPr>
      </w:pPr>
      <w:r>
        <w:rPr>
          <w:rFonts w:ascii="宋体" w:hAnsi="宋体" w:eastAsia="宋体" w:cs="宋体"/>
          <w:spacing w:val="8"/>
          <w:sz w:val="23"/>
          <w:szCs w:val="23"/>
        </w:rPr>
        <w:t>成交供应商合同签订后5个工作日内，经采购人与主办方审核确认后执行。</w:t>
      </w:r>
    </w:p>
    <w:p w14:paraId="1B15CB22">
      <w:pPr>
        <w:spacing w:before="108" w:line="226" w:lineRule="auto"/>
        <w:ind w:left="611"/>
        <w:rPr>
          <w:rFonts w:ascii="宋体" w:hAnsi="宋体" w:eastAsia="宋体" w:cs="宋体"/>
          <w:sz w:val="23"/>
          <w:szCs w:val="23"/>
        </w:rPr>
      </w:pPr>
      <w:r>
        <w:rPr>
          <w:rFonts w:ascii="宋体" w:hAnsi="宋体" w:eastAsia="宋体" w:cs="宋体"/>
          <w:spacing w:val="7"/>
          <w:sz w:val="23"/>
          <w:szCs w:val="23"/>
        </w:rPr>
        <w:t>本项目未经采购人同意，不得转包或分包。</w:t>
      </w:r>
    </w:p>
    <w:p w14:paraId="494D8D59">
      <w:pPr>
        <w:spacing w:line="226" w:lineRule="auto"/>
        <w:rPr>
          <w:rFonts w:ascii="宋体" w:hAnsi="宋体" w:eastAsia="宋体" w:cs="宋体"/>
          <w:sz w:val="23"/>
          <w:szCs w:val="23"/>
        </w:rPr>
        <w:sectPr>
          <w:headerReference r:id="rId24" w:type="default"/>
          <w:footerReference r:id="rId25" w:type="default"/>
          <w:pgSz w:w="11900" w:h="16839"/>
          <w:pgMar w:top="518" w:right="0" w:bottom="429" w:left="839" w:header="241" w:footer="145" w:gutter="0"/>
          <w:cols w:space="720" w:num="1"/>
        </w:sectPr>
      </w:pPr>
    </w:p>
    <w:p w14:paraId="015372BA">
      <w:pPr>
        <w:pStyle w:val="3"/>
        <w:spacing w:line="322" w:lineRule="auto"/>
      </w:pPr>
    </w:p>
    <w:p w14:paraId="565DC339">
      <w:pPr>
        <w:spacing w:before="75" w:line="229" w:lineRule="auto"/>
        <w:ind w:left="621"/>
        <w:rPr>
          <w:rFonts w:ascii="宋体" w:hAnsi="宋体" w:eastAsia="宋体" w:cs="宋体"/>
          <w:sz w:val="23"/>
          <w:szCs w:val="23"/>
        </w:rPr>
      </w:pPr>
      <w:r>
        <w:drawing>
          <wp:anchor distT="0" distB="0" distL="0" distR="0" simplePos="0" relativeHeight="251670528" behindDoc="1" locked="0" layoutInCell="1" allowOverlap="1">
            <wp:simplePos x="0" y="0"/>
            <wp:positionH relativeFrom="column">
              <wp:posOffset>0</wp:posOffset>
            </wp:positionH>
            <wp:positionV relativeFrom="paragraph">
              <wp:posOffset>-1905</wp:posOffset>
            </wp:positionV>
            <wp:extent cx="7022465" cy="95186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7"/>
                    <a:stretch>
                      <a:fillRect/>
                    </a:stretch>
                  </pic:blipFill>
                  <pic:spPr>
                    <a:xfrm>
                      <a:off x="0" y="0"/>
                      <a:ext cx="7022627" cy="951703"/>
                    </a:xfrm>
                    <a:prstGeom prst="rect">
                      <a:avLst/>
                    </a:prstGeom>
                  </pic:spPr>
                </pic:pic>
              </a:graphicData>
            </a:graphic>
          </wp:anchor>
        </w:drawing>
      </w:r>
      <w:r>
        <w:rPr>
          <w:rFonts w:ascii="宋体" w:hAnsi="宋体" w:eastAsia="宋体" w:cs="宋体"/>
          <w:spacing w:val="-1"/>
          <w:sz w:val="23"/>
          <w:szCs w:val="23"/>
        </w:rPr>
        <w:t>（七）联系方式：</w:t>
      </w:r>
    </w:p>
    <w:p w14:paraId="42215090">
      <w:pPr>
        <w:spacing w:before="104" w:line="313" w:lineRule="auto"/>
        <w:ind w:left="608" w:right="1493" w:firstLine="13"/>
        <w:rPr>
          <w:rFonts w:ascii="宋体" w:hAnsi="宋体" w:eastAsia="宋体" w:cs="宋体"/>
          <w:sz w:val="23"/>
          <w:szCs w:val="23"/>
        </w:rPr>
      </w:pPr>
      <w:r>
        <w:rPr>
          <w:rFonts w:ascii="宋体" w:hAnsi="宋体" w:eastAsia="宋体" w:cs="宋体"/>
          <w:spacing w:val="8"/>
          <w:sz w:val="23"/>
          <w:szCs w:val="23"/>
        </w:rPr>
        <w:t>（1）集中考察现场及答疑时间、地点：采购人不组织，供应商如果对采购需求有疑问</w:t>
      </w:r>
      <w:r>
        <w:rPr>
          <w:rFonts w:ascii="宋体" w:hAnsi="宋体" w:eastAsia="宋体" w:cs="宋体"/>
          <w:spacing w:val="5"/>
          <w:sz w:val="23"/>
          <w:szCs w:val="23"/>
        </w:rPr>
        <w:t>请和采购单位联系人沟通。</w:t>
      </w:r>
    </w:p>
    <w:p w14:paraId="3E931BE8">
      <w:pPr>
        <w:spacing w:before="1" w:line="312" w:lineRule="auto"/>
        <w:ind w:left="613" w:right="1474" w:firstLine="8"/>
        <w:rPr>
          <w:rFonts w:ascii="宋体" w:hAnsi="宋体" w:eastAsia="宋体" w:cs="宋体"/>
          <w:sz w:val="23"/>
          <w:szCs w:val="23"/>
        </w:rPr>
      </w:pPr>
      <w:r>
        <w:rPr>
          <w:rFonts w:ascii="宋体" w:hAnsi="宋体" w:eastAsia="宋体" w:cs="宋体"/>
          <w:spacing w:val="8"/>
          <w:sz w:val="23"/>
          <w:szCs w:val="23"/>
        </w:rPr>
        <w:t>（</w:t>
      </w:r>
      <w:r>
        <w:rPr>
          <w:rFonts w:hint="eastAsia" w:ascii="宋体" w:hAnsi="宋体" w:eastAsia="宋体" w:cs="宋体"/>
          <w:spacing w:val="8"/>
          <w:sz w:val="23"/>
          <w:szCs w:val="23"/>
          <w:lang w:val="en-US" w:eastAsia="zh-CN"/>
        </w:rPr>
        <w:t>2</w:t>
      </w:r>
      <w:r>
        <w:rPr>
          <w:rFonts w:ascii="宋体" w:hAnsi="宋体" w:eastAsia="宋体" w:cs="宋体"/>
          <w:spacing w:val="8"/>
          <w:sz w:val="23"/>
          <w:szCs w:val="23"/>
        </w:rPr>
        <w:t>）采购代理机构：华春建设工程项目管理有限责任公司，联系人：严浩，19951754</w:t>
      </w:r>
      <w:r>
        <w:rPr>
          <w:rFonts w:ascii="宋体" w:hAnsi="宋体" w:eastAsia="宋体" w:cs="宋体"/>
          <w:spacing w:val="1"/>
          <w:sz w:val="23"/>
          <w:szCs w:val="23"/>
        </w:rPr>
        <w:t xml:space="preserve"> </w:t>
      </w:r>
      <w:r>
        <w:rPr>
          <w:rFonts w:ascii="宋体" w:hAnsi="宋体" w:eastAsia="宋体" w:cs="宋体"/>
          <w:spacing w:val="-5"/>
          <w:sz w:val="23"/>
          <w:szCs w:val="23"/>
        </w:rPr>
        <w:t>271。</w:t>
      </w:r>
    </w:p>
    <w:p w14:paraId="791BD899">
      <w:pPr>
        <w:spacing w:line="227" w:lineRule="auto"/>
        <w:ind w:left="621"/>
        <w:rPr>
          <w:rFonts w:ascii="宋体" w:hAnsi="宋体" w:eastAsia="宋体" w:cs="宋体"/>
          <w:sz w:val="23"/>
          <w:szCs w:val="23"/>
        </w:rPr>
      </w:pPr>
      <w:r>
        <w:rPr>
          <w:rFonts w:ascii="宋体" w:hAnsi="宋体" w:eastAsia="宋体" w:cs="宋体"/>
          <w:sz w:val="23"/>
          <w:szCs w:val="23"/>
        </w:rPr>
        <w:t>（八）咨询服务费：</w:t>
      </w:r>
    </w:p>
    <w:p w14:paraId="2A167102">
      <w:pPr>
        <w:spacing w:before="107" w:line="226" w:lineRule="auto"/>
        <w:ind w:left="611"/>
        <w:rPr>
          <w:rFonts w:ascii="宋体" w:hAnsi="宋体" w:eastAsia="宋体" w:cs="宋体"/>
          <w:sz w:val="23"/>
          <w:szCs w:val="23"/>
        </w:rPr>
      </w:pPr>
      <w:r>
        <w:rPr>
          <w:rFonts w:ascii="宋体" w:hAnsi="宋体" w:eastAsia="宋体" w:cs="宋体"/>
          <w:spacing w:val="8"/>
          <w:sz w:val="23"/>
          <w:szCs w:val="23"/>
        </w:rPr>
        <w:t>本次采购，咨询服务费参照《国家计委关于印发〈招标代理服务收费管理暂行办法〉</w:t>
      </w:r>
    </w:p>
    <w:p w14:paraId="42B5C94F">
      <w:pPr>
        <w:spacing w:before="107" w:line="313" w:lineRule="auto"/>
        <w:ind w:left="623" w:right="1465" w:firstLine="6"/>
        <w:rPr>
          <w:rFonts w:ascii="宋体" w:hAnsi="宋体" w:eastAsia="宋体" w:cs="宋体"/>
          <w:sz w:val="23"/>
          <w:szCs w:val="23"/>
        </w:rPr>
      </w:pPr>
      <w:r>
        <w:rPr>
          <w:rFonts w:ascii="宋体" w:hAnsi="宋体" w:eastAsia="宋体" w:cs="宋体"/>
          <w:spacing w:val="8"/>
          <w:sz w:val="23"/>
          <w:szCs w:val="23"/>
        </w:rPr>
        <w:t>的通知》（计价格〔2002〕1980号）、按</w:t>
      </w:r>
      <w:r>
        <w:rPr>
          <w:rFonts w:ascii="宋体" w:hAnsi="宋体" w:eastAsia="宋体" w:cs="宋体"/>
          <w:spacing w:val="7"/>
          <w:sz w:val="23"/>
          <w:szCs w:val="23"/>
        </w:rPr>
        <w:t>苏价服〔2014〕383号文件规定的代理服务收</w:t>
      </w:r>
      <w:r>
        <w:rPr>
          <w:rFonts w:ascii="宋体" w:hAnsi="宋体" w:eastAsia="宋体" w:cs="宋体"/>
          <w:spacing w:val="8"/>
          <w:sz w:val="23"/>
          <w:szCs w:val="23"/>
        </w:rPr>
        <w:t>费标准费率的55%收费。单个项目代理服务费、清单及控制价编制费均不足3000元整</w:t>
      </w:r>
    </w:p>
    <w:p w14:paraId="33719950">
      <w:pPr>
        <w:spacing w:line="227" w:lineRule="auto"/>
        <w:ind w:left="630"/>
        <w:rPr>
          <w:rFonts w:ascii="宋体" w:hAnsi="宋体" w:eastAsia="宋体" w:cs="宋体"/>
          <w:sz w:val="23"/>
          <w:szCs w:val="23"/>
        </w:rPr>
      </w:pPr>
      <w:r>
        <w:rPr>
          <w:rFonts w:ascii="宋体" w:hAnsi="宋体" w:eastAsia="宋体" w:cs="宋体"/>
          <w:spacing w:val="3"/>
          <w:sz w:val="23"/>
          <w:szCs w:val="23"/>
        </w:rPr>
        <w:t>的，分别按2100元收费。</w:t>
      </w:r>
    </w:p>
    <w:p w14:paraId="7C0F6951">
      <w:pPr>
        <w:spacing w:before="107" w:line="227" w:lineRule="auto"/>
        <w:ind w:left="618"/>
        <w:rPr>
          <w:rFonts w:ascii="宋体" w:hAnsi="宋体" w:eastAsia="宋体" w:cs="宋体"/>
          <w:sz w:val="23"/>
          <w:szCs w:val="23"/>
        </w:rPr>
      </w:pPr>
      <w:r>
        <w:rPr>
          <w:rFonts w:ascii="宋体" w:hAnsi="宋体" w:eastAsia="宋体" w:cs="宋体"/>
          <w:spacing w:val="9"/>
          <w:sz w:val="23"/>
          <w:szCs w:val="23"/>
        </w:rPr>
        <w:t>收款人：华春建设工程项目管理有限责任公司南京分公司</w:t>
      </w:r>
    </w:p>
    <w:p w14:paraId="027EEB0E">
      <w:pPr>
        <w:spacing w:before="107" w:line="226" w:lineRule="auto"/>
        <w:ind w:left="611"/>
        <w:rPr>
          <w:rFonts w:ascii="宋体" w:hAnsi="宋体" w:eastAsia="宋体" w:cs="宋体"/>
          <w:sz w:val="23"/>
          <w:szCs w:val="23"/>
        </w:rPr>
      </w:pPr>
      <w:r>
        <w:rPr>
          <w:rFonts w:ascii="宋体" w:hAnsi="宋体" w:eastAsia="宋体" w:cs="宋体"/>
          <w:spacing w:val="8"/>
          <w:sz w:val="23"/>
          <w:szCs w:val="23"/>
        </w:rPr>
        <w:t>开户行：杭州银行南京分行</w:t>
      </w:r>
    </w:p>
    <w:p w14:paraId="256DB567">
      <w:pPr>
        <w:spacing w:before="107" w:line="229" w:lineRule="auto"/>
        <w:ind w:left="614"/>
        <w:rPr>
          <w:rFonts w:ascii="宋体" w:hAnsi="宋体" w:eastAsia="宋体" w:cs="宋体"/>
          <w:sz w:val="23"/>
          <w:szCs w:val="23"/>
        </w:rPr>
      </w:pPr>
      <w:r>
        <w:rPr>
          <w:rFonts w:ascii="宋体" w:hAnsi="宋体" w:eastAsia="宋体" w:cs="宋体"/>
          <w:spacing w:val="5"/>
          <w:sz w:val="23"/>
          <w:szCs w:val="23"/>
        </w:rPr>
        <w:t>账 号：32010401600013043</w:t>
      </w:r>
      <w:r>
        <w:rPr>
          <w:rFonts w:ascii="宋体" w:hAnsi="宋体" w:eastAsia="宋体" w:cs="宋体"/>
          <w:spacing w:val="4"/>
          <w:sz w:val="23"/>
          <w:szCs w:val="23"/>
        </w:rPr>
        <w:t>15</w:t>
      </w:r>
    </w:p>
    <w:p w14:paraId="3EF0B3CD">
      <w:pPr>
        <w:spacing w:before="105" w:line="228" w:lineRule="auto"/>
        <w:ind w:left="610"/>
        <w:rPr>
          <w:rFonts w:ascii="宋体" w:hAnsi="宋体" w:eastAsia="宋体" w:cs="宋体"/>
          <w:sz w:val="23"/>
          <w:szCs w:val="23"/>
        </w:rPr>
      </w:pPr>
      <w:r>
        <w:rPr>
          <w:rFonts w:ascii="宋体" w:hAnsi="宋体" w:eastAsia="宋体" w:cs="宋体"/>
          <w:spacing w:val="7"/>
          <w:sz w:val="23"/>
          <w:szCs w:val="23"/>
        </w:rPr>
        <w:t>注：汇款时需备注汇款单位名称、项目名称。</w:t>
      </w:r>
    </w:p>
    <w:sectPr>
      <w:headerReference r:id="rId26" w:type="default"/>
      <w:footerReference r:id="rId27" w:type="default"/>
      <w:pgSz w:w="11900" w:h="16839"/>
      <w:pgMar w:top="518" w:right="0" w:bottom="432" w:left="839" w:header="241" w:footer="14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38703">
    <w:pPr>
      <w:spacing w:line="35" w:lineRule="exact"/>
    </w:pPr>
    <w:r>
      <w:drawing>
        <wp:inline distT="0" distB="0" distL="0" distR="0">
          <wp:extent cx="7555865" cy="222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7555991" cy="22236"/>
                  </a:xfrm>
                  <a:prstGeom prst="rect">
                    <a:avLst/>
                  </a:prstGeom>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888D">
    <w:pPr>
      <w:spacing w:line="179" w:lineRule="auto"/>
      <w:ind w:left="504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19190">
    <w:pPr>
      <w:spacing w:line="179" w:lineRule="auto"/>
      <w:ind w:left="497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pacing w:val="-9"/>
        <w:sz w:val="24"/>
        <w:szCs w:val="24"/>
      </w:rPr>
      <w:t>10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7F64">
    <w:pPr>
      <w:spacing w:before="1" w:line="177" w:lineRule="auto"/>
      <w:ind w:left="497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pacing w:val="-9"/>
        <w:sz w:val="24"/>
        <w:szCs w:val="24"/>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18C3A">
    <w:pPr>
      <w:spacing w:before="1" w:line="179" w:lineRule="auto"/>
      <w:ind w:left="497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pacing w:val="-9"/>
        <w:sz w:val="24"/>
        <w:szCs w:val="24"/>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6AC6E">
    <w:pPr>
      <w:pStyle w:val="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9F54">
    <w:pPr>
      <w:spacing w:before="1" w:line="177" w:lineRule="auto"/>
      <w:ind w:left="505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82E4">
    <w:pPr>
      <w:spacing w:before="1" w:line="179" w:lineRule="auto"/>
      <w:ind w:left="5050"/>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FFF95">
    <w:pPr>
      <w:spacing w:line="179" w:lineRule="auto"/>
      <w:ind w:left="5050"/>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087CF">
    <w:pPr>
      <w:spacing w:before="1" w:line="177" w:lineRule="auto"/>
      <w:ind w:left="5044"/>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1CA2F">
    <w:pPr>
      <w:spacing w:line="177" w:lineRule="auto"/>
      <w:ind w:left="5051"/>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17029">
    <w:pPr>
      <w:spacing w:line="179" w:lineRule="auto"/>
      <w:ind w:left="5049"/>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C3D8B">
    <w:pPr>
      <w:spacing w:before="1" w:line="177" w:lineRule="auto"/>
      <w:ind w:left="5052"/>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z w:val="24"/>
        <w:szCs w:val="24"/>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8E6F">
    <w:pPr>
      <w:spacing w:line="530" w:lineRule="exact"/>
      <w:ind w:firstLine="360"/>
    </w:pPr>
    <w:r>
      <w:pict>
        <v:shape id="WordPictureWatermark2" o:spid="_x0000_s2049" o:spt="75" type="#_x0000_t75" style="position:absolute;left:0pt;margin-left:0pt;margin-top:549.95pt;height:289.65pt;width:59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r>
      <w:rPr>
        <w:position w:val="-10"/>
      </w:rPr>
      <w:drawing>
        <wp:inline distT="0" distB="0" distL="0" distR="0">
          <wp:extent cx="1743710" cy="3365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
                  <a:stretch>
                    <a:fillRect/>
                  </a:stretch>
                </pic:blipFill>
                <pic:spPr>
                  <a:xfrm>
                    <a:off x="0" y="0"/>
                    <a:ext cx="1743807" cy="336694"/>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ABFB">
    <w:pPr>
      <w:spacing w:before="18" w:line="193" w:lineRule="auto"/>
      <w:ind w:left="600"/>
      <w:rPr>
        <w:rFonts w:ascii="微软雅黑" w:hAnsi="微软雅黑" w:eastAsia="微软雅黑" w:cs="微软雅黑"/>
        <w:sz w:val="18"/>
        <w:szCs w:val="18"/>
      </w:rPr>
    </w:pPr>
    <w:r>
      <w:rPr>
        <w:rFonts w:ascii="微软雅黑" w:hAnsi="微软雅黑" w:eastAsia="微软雅黑" w:cs="微软雅黑"/>
        <w:color w:val="606266"/>
        <w:position w:val="-3"/>
        <w:sz w:val="18"/>
        <w:szCs w:val="18"/>
      </w:rPr>
      <w:drawing>
        <wp:inline distT="0" distB="0" distL="0" distR="0">
          <wp:extent cx="152400" cy="152400"/>
          <wp:effectExtent l="0" t="0" r="0" b="0"/>
          <wp:docPr id="1" name="IM 14"/>
          <wp:cNvGraphicFramePr/>
          <a:graphic xmlns:a="http://schemas.openxmlformats.org/drawingml/2006/main">
            <a:graphicData uri="http://schemas.openxmlformats.org/drawingml/2006/picture">
              <pic:pic xmlns:pic="http://schemas.openxmlformats.org/drawingml/2006/picture">
                <pic:nvPicPr>
                  <pic:cNvPr id="1" name="IM 14"/>
                  <pic:cNvPicPr/>
                </pic:nvPicPr>
                <pic:blipFill>
                  <a:blip r:embed="rId1"/>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74CA3">
    <w:pPr>
      <w:pStyle w:val="3"/>
      <w:spacing w:line="14" w:lineRule="auto"/>
      <w:rPr>
        <w:sz w:val="2"/>
      </w:rPr>
    </w:pPr>
    <w:r>
      <w:pict>
        <v:shape id="WordPictureWatermark6" o:spid="_x0000_s2050" o:spt="75" type="#_x0000_t75" style="position:absolute;left:0pt;margin-left:0pt;margin-top:546.2pt;height:290.4pt;width:59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CFF4E">
    <w:pPr>
      <w:spacing w:before="18" w:line="193" w:lineRule="auto"/>
      <w:ind w:left="600"/>
      <w:rPr>
        <w:rFonts w:ascii="微软雅黑" w:hAnsi="微软雅黑" w:eastAsia="微软雅黑" w:cs="微软雅黑"/>
        <w:sz w:val="18"/>
        <w:szCs w:val="18"/>
      </w:rPr>
    </w:pPr>
    <w:r>
      <w:rPr>
        <w:rFonts w:ascii="微软雅黑" w:hAnsi="微软雅黑" w:eastAsia="微软雅黑" w:cs="微软雅黑"/>
        <w:color w:val="606266"/>
        <w:position w:val="-3"/>
        <w:sz w:val="18"/>
        <w:szCs w:val="18"/>
      </w:rPr>
      <w:drawing>
        <wp:inline distT="0" distB="0" distL="0" distR="0">
          <wp:extent cx="152400" cy="1524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EE248">
    <w:pPr>
      <w:spacing w:before="18" w:line="193" w:lineRule="auto"/>
      <w:ind w:left="600"/>
      <w:rPr>
        <w:rFonts w:ascii="微软雅黑" w:hAnsi="微软雅黑" w:eastAsia="微软雅黑" w:cs="微软雅黑"/>
        <w:sz w:val="18"/>
        <w:szCs w:val="18"/>
      </w:rPr>
    </w:pPr>
    <w:r>
      <w:drawing>
        <wp:anchor distT="0" distB="0" distL="0" distR="0" simplePos="0" relativeHeight="251661312" behindDoc="1" locked="0" layoutInCell="0" allowOverlap="1">
          <wp:simplePos x="0" y="0"/>
          <wp:positionH relativeFrom="page">
            <wp:posOffset>532765</wp:posOffset>
          </wp:positionH>
          <wp:positionV relativeFrom="page">
            <wp:posOffset>596265</wp:posOffset>
          </wp:positionV>
          <wp:extent cx="7022465" cy="955802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7022627" cy="9558219"/>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2020">
    <w:pPr>
      <w:spacing w:before="18" w:line="193" w:lineRule="auto"/>
      <w:ind w:left="600"/>
      <w:rPr>
        <w:rFonts w:ascii="微软雅黑" w:hAnsi="微软雅黑" w:eastAsia="微软雅黑" w:cs="微软雅黑"/>
        <w:sz w:val="18"/>
        <w:szCs w:val="18"/>
      </w:rPr>
    </w:pPr>
    <w:r>
      <w:drawing>
        <wp:anchor distT="0" distB="0" distL="0" distR="0" simplePos="0" relativeHeight="251662336" behindDoc="1" locked="0" layoutInCell="0" allowOverlap="1">
          <wp:simplePos x="0" y="0"/>
          <wp:positionH relativeFrom="page">
            <wp:posOffset>532765</wp:posOffset>
          </wp:positionH>
          <wp:positionV relativeFrom="page">
            <wp:posOffset>533400</wp:posOffset>
          </wp:positionV>
          <wp:extent cx="7022465" cy="962152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7022627" cy="9621687"/>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DFCAE">
    <w:pPr>
      <w:spacing w:before="18" w:line="193" w:lineRule="auto"/>
      <w:ind w:left="600"/>
      <w:rPr>
        <w:rFonts w:ascii="微软雅黑" w:hAnsi="微软雅黑" w:eastAsia="微软雅黑" w:cs="微软雅黑"/>
        <w:sz w:val="18"/>
        <w:szCs w:val="18"/>
      </w:rPr>
    </w:pPr>
    <w:r>
      <w:drawing>
        <wp:anchor distT="0" distB="0" distL="0" distR="0" simplePos="0" relativeHeight="251663360" behindDoc="1" locked="0" layoutInCell="0" allowOverlap="1">
          <wp:simplePos x="0" y="0"/>
          <wp:positionH relativeFrom="page">
            <wp:posOffset>532765</wp:posOffset>
          </wp:positionH>
          <wp:positionV relativeFrom="page">
            <wp:posOffset>532765</wp:posOffset>
          </wp:positionV>
          <wp:extent cx="7022465" cy="962152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
                  <a:stretch>
                    <a:fillRect/>
                  </a:stretch>
                </pic:blipFill>
                <pic:spPr>
                  <a:xfrm>
                    <a:off x="0" y="0"/>
                    <a:ext cx="7022627" cy="9621690"/>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8FAB6">
    <w:pPr>
      <w:spacing w:before="18" w:line="193" w:lineRule="auto"/>
      <w:ind w:left="600"/>
      <w:rPr>
        <w:rFonts w:ascii="微软雅黑" w:hAnsi="微软雅黑" w:eastAsia="微软雅黑" w:cs="微软雅黑"/>
        <w:sz w:val="18"/>
        <w:szCs w:val="18"/>
      </w:rPr>
    </w:pPr>
    <w:r>
      <w:drawing>
        <wp:anchor distT="0" distB="0" distL="0" distR="0" simplePos="0" relativeHeight="251664384" behindDoc="1" locked="0" layoutInCell="0" allowOverlap="1">
          <wp:simplePos x="0" y="0"/>
          <wp:positionH relativeFrom="page">
            <wp:posOffset>532765</wp:posOffset>
          </wp:positionH>
          <wp:positionV relativeFrom="page">
            <wp:posOffset>533400</wp:posOffset>
          </wp:positionV>
          <wp:extent cx="7022465" cy="962152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
                  <a:stretch>
                    <a:fillRect/>
                  </a:stretch>
                </pic:blipFill>
                <pic:spPr>
                  <a:xfrm>
                    <a:off x="0" y="0"/>
                    <a:ext cx="7022627" cy="9621690"/>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AF3A">
    <w:pPr>
      <w:spacing w:before="18" w:line="193" w:lineRule="auto"/>
      <w:ind w:left="600"/>
      <w:rPr>
        <w:rFonts w:ascii="微软雅黑" w:hAnsi="微软雅黑" w:eastAsia="微软雅黑" w:cs="微软雅黑"/>
        <w:sz w:val="18"/>
        <w:szCs w:val="18"/>
      </w:rPr>
    </w:pPr>
    <w:r>
      <w:drawing>
        <wp:anchor distT="0" distB="0" distL="0" distR="0" simplePos="0" relativeHeight="251666432" behindDoc="1" locked="0" layoutInCell="0" allowOverlap="1">
          <wp:simplePos x="0" y="0"/>
          <wp:positionH relativeFrom="page">
            <wp:posOffset>532765</wp:posOffset>
          </wp:positionH>
          <wp:positionV relativeFrom="page">
            <wp:posOffset>533400</wp:posOffset>
          </wp:positionV>
          <wp:extent cx="7022465" cy="962152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
                  <a:stretch>
                    <a:fillRect/>
                  </a:stretch>
                </pic:blipFill>
                <pic:spPr>
                  <a:xfrm>
                    <a:off x="0" y="0"/>
                    <a:ext cx="7022627" cy="9621690"/>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B43B7">
    <w:pPr>
      <w:spacing w:before="18" w:line="193" w:lineRule="auto"/>
      <w:ind w:left="600"/>
      <w:rPr>
        <w:rFonts w:ascii="微软雅黑" w:hAnsi="微软雅黑" w:eastAsia="微软雅黑" w:cs="微软雅黑"/>
        <w:sz w:val="18"/>
        <w:szCs w:val="18"/>
      </w:rPr>
    </w:pPr>
    <w:r>
      <w:drawing>
        <wp:anchor distT="0" distB="0" distL="0" distR="0" simplePos="0" relativeHeight="251667456" behindDoc="1" locked="0" layoutInCell="0" allowOverlap="1">
          <wp:simplePos x="0" y="0"/>
          <wp:positionH relativeFrom="page">
            <wp:posOffset>532765</wp:posOffset>
          </wp:positionH>
          <wp:positionV relativeFrom="page">
            <wp:posOffset>533400</wp:posOffset>
          </wp:positionV>
          <wp:extent cx="7022465" cy="962152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
                  <a:stretch>
                    <a:fillRect/>
                  </a:stretch>
                </pic:blipFill>
                <pic:spPr>
                  <a:xfrm>
                    <a:off x="0" y="0"/>
                    <a:ext cx="7022627" cy="9621684"/>
                  </a:xfrm>
                  <a:prstGeom prst="rect">
                    <a:avLst/>
                  </a:prstGeom>
                </pic:spPr>
              </pic:pic>
            </a:graphicData>
          </a:graphic>
        </wp:anchor>
      </w:drawing>
    </w:r>
    <w:r>
      <w:rPr>
        <w:rFonts w:ascii="微软雅黑" w:hAnsi="微软雅黑" w:eastAsia="微软雅黑" w:cs="微软雅黑"/>
        <w:color w:val="606266"/>
        <w:position w:val="-3"/>
        <w:sz w:val="18"/>
        <w:szCs w:val="18"/>
      </w:rPr>
      <w:drawing>
        <wp:inline distT="0" distB="0" distL="0" distR="0">
          <wp:extent cx="152400" cy="15240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
                  <a:stretch>
                    <a:fillRect/>
                  </a:stretch>
                </pic:blipFill>
                <pic:spPr>
                  <a:xfrm>
                    <a:off x="0" y="0"/>
                    <a:ext cx="152464" cy="152464"/>
                  </a:xfrm>
                  <a:prstGeom prst="rect">
                    <a:avLst/>
                  </a:prstGeom>
                </pic:spPr>
              </pic:pic>
            </a:graphicData>
          </a:graphic>
        </wp:inline>
      </w:drawing>
    </w:r>
    <w:r>
      <w:rPr>
        <w:rFonts w:ascii="微软雅黑" w:hAnsi="微软雅黑" w:eastAsia="微软雅黑" w:cs="微软雅黑"/>
        <w:color w:val="606266"/>
        <w:sz w:val="18"/>
        <w:szCs w:val="18"/>
      </w:rPr>
      <w:t xml:space="preserve">                                         </w:t>
    </w:r>
    <w:r>
      <w:rPr>
        <w:rFonts w:ascii="微软雅黑" w:hAnsi="微软雅黑" w:eastAsia="微软雅黑" w:cs="微软雅黑"/>
        <w:color w:val="606266"/>
        <w:spacing w:val="1"/>
        <w:sz w:val="18"/>
        <w:szCs w:val="18"/>
      </w:rPr>
      <w:t>南京市雨花台烈士陵园管理局</w:t>
    </w:r>
    <w:r>
      <w:rPr>
        <w:rFonts w:ascii="Lucida Sans Unicode" w:hAnsi="Lucida Sans Unicode" w:eastAsia="Lucida Sans Unicode" w:cs="Lucida Sans Unicode"/>
        <w:color w:val="606266"/>
        <w:spacing w:val="1"/>
        <w:sz w:val="18"/>
        <w:szCs w:val="18"/>
      </w:rPr>
      <w:t>2026</w:t>
    </w:r>
    <w:r>
      <w:rPr>
        <w:rFonts w:ascii="微软雅黑" w:hAnsi="微软雅黑" w:eastAsia="微软雅黑" w:cs="微软雅黑"/>
        <w:color w:val="606266"/>
        <w:spacing w:val="1"/>
        <w:sz w:val="18"/>
        <w:szCs w:val="18"/>
      </w:rPr>
      <w:t>年南京市</w:t>
    </w:r>
    <w:r>
      <w:rPr>
        <w:rFonts w:ascii="微软雅黑" w:hAnsi="微软雅黑" w:eastAsia="微软雅黑" w:cs="微软雅黑"/>
        <w:color w:val="606266"/>
        <w:sz w:val="18"/>
        <w:szCs w:val="18"/>
      </w:rPr>
      <w:t>新婚夫妇向革命烈士献花活动比选文件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9163F88"/>
    <w:rsid w:val="124A1D68"/>
    <w:rsid w:val="2C672CEC"/>
    <w:rsid w:val="2FBC57F2"/>
    <w:rsid w:val="33BF2903"/>
    <w:rsid w:val="3558300F"/>
    <w:rsid w:val="41933239"/>
    <w:rsid w:val="441F71D0"/>
    <w:rsid w:val="45BF3622"/>
    <w:rsid w:val="558F092A"/>
    <w:rsid w:val="66700F66"/>
    <w:rsid w:val="6AB149CC"/>
    <w:rsid w:val="6C1B6A8A"/>
    <w:rsid w:val="6F4671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3">
    <w:name w:val="Body Text"/>
    <w:basedOn w:val="1"/>
    <w:semiHidden/>
    <w:qFormat/>
    <w:uiPriority w:val="0"/>
    <w:rPr>
      <w:rFonts w:ascii="Arial" w:hAnsi="Arial" w:eastAsia="Arial" w:cs="Arial"/>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theme" Target="theme/theme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9552</Words>
  <Characters>9873</Characters>
  <TotalTime>1</TotalTime>
  <ScaleCrop>false</ScaleCrop>
  <LinksUpToDate>false</LinksUpToDate>
  <CharactersWithSpaces>9932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2026-08-20T00:53:00Z</dcterms:created>
  <dc:creator>lmwang</dc:creator>
  <cp:lastModifiedBy>浩子与猫</cp:lastModifiedBy>
  <dcterms:modified xsi:type="dcterms:W3CDTF">2026-08-20T02:51:45Z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2026-08-20T08:54:03Z</vt:filetime>
  </property>
  <property fmtid="{D5CDD505-2E9C-101B-9397-08002B2CF9AE}" pid="4" name="KSOTemplateDocerSaveRecord">
    <vt:lpwstr>eyJoZGlkIjoiODliMTRiYjg3OGFlMDVjMzBkYjMyMWY2NGQ3N2I0MjkiLCJ1c2VySWQiOiIxMDI2NzE0MjIyIn0=</vt:lpwstr>
  </property>
  <property fmtid="{D5CDD505-2E9C-101B-9397-08002B2CF9AE}" pid="5" name="KSOProductBuildVer">
    <vt:lpwstr>2052-12.1.0.28043</vt:lpwstr>
  </property>
  <property fmtid="{D5CDD505-2E9C-101B-9397-08002B2CF9AE}" pid="6" name="ICV">
    <vt:lpwstr>A7F3A3F504214EF58912C2D2A65412AF_13</vt:lpwstr>
  </property>
</Properties>
</file>