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南京市雨花台烈士陵园管理局2025年度大屏及多媒体设备维护保养项目废标公告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项目名称：2025年度大屏及多媒体设备维护保养项目。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二、项目终止原因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评审过程中，响应文件符合竞争性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谈判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文件要求的供应商不足三家，故作废标处理。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三、其他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采购人信息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名称：南京市雨花台烈士陵园管理局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地址：南京市雨花台区雨花路215号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项目联系人：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程工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 w:firstLine="64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电话：025-687830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5</w:t>
      </w:r>
    </w:p>
    <w:sectPr>
      <w:pgSz w:w="11906" w:h="16838"/>
      <w:pgMar w:top="2098" w:right="1587" w:bottom="1984" w:left="1587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6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Yozo_Office27021597764231179</Application>
  <Pages>1</Pages>
  <Words>184</Words>
  <Characters>203</Characters>
  <Lines>15</Lines>
  <Paragraphs>12</Paragraphs>
  <CharactersWithSpaces>203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yu</dc:creator>
  <cp:lastModifiedBy>y_058</cp:lastModifiedBy>
  <cp:revision>0</cp:revision>
  <dcterms:created xsi:type="dcterms:W3CDTF">2023-03-23T02:22:00Z</dcterms:created>
  <dcterms:modified xsi:type="dcterms:W3CDTF">2025-04-29T08:05:41Z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2052-11.8.2.8959</vt:lpwstr>
  </property>
</Properties>
</file>