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BA7E1">
      <w:pPr>
        <w:autoSpaceDE w:val="0"/>
        <w:autoSpaceDN w:val="0"/>
        <w:spacing w:line="480" w:lineRule="exact"/>
        <w:jc w:val="center"/>
        <w:rPr>
          <w:rFonts w:ascii="宋体"/>
          <w:sz w:val="44"/>
          <w:szCs w:val="44"/>
        </w:rPr>
      </w:pPr>
    </w:p>
    <w:p w14:paraId="6A238FF1">
      <w:pPr>
        <w:autoSpaceDE w:val="0"/>
        <w:autoSpaceDN w:val="0"/>
        <w:spacing w:line="480" w:lineRule="exact"/>
        <w:jc w:val="center"/>
        <w:rPr>
          <w:rFonts w:ascii="宋体"/>
          <w:sz w:val="44"/>
          <w:szCs w:val="44"/>
        </w:rPr>
      </w:pPr>
    </w:p>
    <w:p w14:paraId="4CA397A5">
      <w:pPr>
        <w:autoSpaceDE w:val="0"/>
        <w:autoSpaceDN w:val="0"/>
        <w:spacing w:line="480" w:lineRule="exact"/>
        <w:jc w:val="center"/>
        <w:rPr>
          <w:rFonts w:ascii="宋体"/>
          <w:sz w:val="44"/>
          <w:szCs w:val="44"/>
        </w:rPr>
      </w:pPr>
    </w:p>
    <w:p w14:paraId="2602FFC4">
      <w:pPr>
        <w:autoSpaceDE w:val="0"/>
        <w:autoSpaceDN w:val="0"/>
        <w:spacing w:line="480" w:lineRule="exact"/>
        <w:jc w:val="center"/>
        <w:rPr>
          <w:rFonts w:ascii="宋体"/>
          <w:sz w:val="44"/>
          <w:szCs w:val="44"/>
        </w:rPr>
      </w:pPr>
    </w:p>
    <w:p w14:paraId="022956FD">
      <w:pPr>
        <w:autoSpaceDE w:val="0"/>
        <w:autoSpaceDN w:val="0"/>
        <w:spacing w:line="480" w:lineRule="exact"/>
        <w:jc w:val="center"/>
        <w:rPr>
          <w:rFonts w:ascii="宋体"/>
          <w:sz w:val="44"/>
          <w:szCs w:val="44"/>
        </w:rPr>
      </w:pPr>
    </w:p>
    <w:p w14:paraId="31A153C2">
      <w:pPr>
        <w:autoSpaceDE w:val="0"/>
        <w:autoSpaceDN w:val="0"/>
        <w:spacing w:line="480" w:lineRule="exact"/>
        <w:jc w:val="center"/>
        <w:rPr>
          <w:rFonts w:ascii="宋体"/>
          <w:sz w:val="44"/>
          <w:szCs w:val="44"/>
        </w:rPr>
      </w:pPr>
    </w:p>
    <w:p w14:paraId="4526B6A9">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南京市雨花台烈士陵园管理局</w:t>
      </w:r>
    </w:p>
    <w:p w14:paraId="0C460CFA">
      <w:pPr>
        <w:keepNext w:val="0"/>
        <w:keepLines w:val="0"/>
        <w:pageBreakBefore w:val="0"/>
        <w:widowControl w:val="0"/>
        <w:kinsoku/>
        <w:wordWrap/>
        <w:overflowPunct/>
        <w:topLinePunct w:val="0"/>
        <w:autoSpaceDE w:val="0"/>
        <w:autoSpaceDN w:val="0"/>
        <w:bidi w:val="0"/>
        <w:adjustRightInd/>
        <w:snapToGrid/>
        <w:spacing w:line="480" w:lineRule="auto"/>
        <w:jc w:val="center"/>
        <w:textAlignment w:val="auto"/>
        <w:rPr>
          <w:rFonts w:ascii="宋体" w:cs="黑体"/>
          <w:spacing w:val="1"/>
          <w:sz w:val="44"/>
          <w:szCs w:val="44"/>
        </w:rPr>
      </w:pPr>
      <w:r>
        <w:rPr>
          <w:rFonts w:hint="eastAsia" w:ascii="方正小标宋简体" w:hAnsi="方正小标宋简体" w:eastAsia="方正小标宋简体" w:cs="方正小标宋简体"/>
          <w:sz w:val="44"/>
          <w:szCs w:val="44"/>
        </w:rPr>
        <w:t>网络信息监测项目竞争性磋商文件</w:t>
      </w:r>
    </w:p>
    <w:p w14:paraId="090643FD">
      <w:pPr>
        <w:autoSpaceDE w:val="0"/>
        <w:autoSpaceDN w:val="0"/>
        <w:spacing w:line="360" w:lineRule="exact"/>
        <w:jc w:val="center"/>
        <w:rPr>
          <w:rFonts w:ascii="宋体" w:cs="黑体"/>
          <w:spacing w:val="1"/>
          <w:sz w:val="36"/>
        </w:rPr>
      </w:pPr>
    </w:p>
    <w:p w14:paraId="15619917">
      <w:pPr>
        <w:autoSpaceDE w:val="0"/>
        <w:autoSpaceDN w:val="0"/>
        <w:spacing w:line="360" w:lineRule="exact"/>
        <w:jc w:val="center"/>
        <w:rPr>
          <w:rFonts w:ascii="宋体" w:cs="黑体"/>
          <w:spacing w:val="1"/>
          <w:sz w:val="36"/>
        </w:rPr>
      </w:pPr>
    </w:p>
    <w:p w14:paraId="05AF2CA4">
      <w:pPr>
        <w:autoSpaceDE w:val="0"/>
        <w:autoSpaceDN w:val="0"/>
        <w:spacing w:line="360" w:lineRule="exact"/>
        <w:jc w:val="center"/>
        <w:rPr>
          <w:rFonts w:ascii="宋体" w:cs="黑体"/>
          <w:spacing w:val="1"/>
          <w:sz w:val="36"/>
        </w:rPr>
      </w:pPr>
    </w:p>
    <w:p w14:paraId="3A28FE11">
      <w:pPr>
        <w:autoSpaceDE w:val="0"/>
        <w:autoSpaceDN w:val="0"/>
        <w:spacing w:line="360" w:lineRule="exact"/>
        <w:jc w:val="center"/>
        <w:rPr>
          <w:rFonts w:ascii="宋体" w:cs="黑体"/>
          <w:spacing w:val="1"/>
          <w:sz w:val="36"/>
        </w:rPr>
      </w:pPr>
    </w:p>
    <w:p w14:paraId="6662A0DA">
      <w:pPr>
        <w:autoSpaceDE w:val="0"/>
        <w:autoSpaceDN w:val="0"/>
        <w:spacing w:line="360" w:lineRule="exact"/>
        <w:jc w:val="center"/>
        <w:rPr>
          <w:rFonts w:ascii="宋体" w:cs="黑体"/>
          <w:spacing w:val="1"/>
          <w:sz w:val="36"/>
        </w:rPr>
      </w:pPr>
    </w:p>
    <w:p w14:paraId="39105892">
      <w:pPr>
        <w:autoSpaceDE w:val="0"/>
        <w:autoSpaceDN w:val="0"/>
        <w:spacing w:line="360" w:lineRule="exact"/>
        <w:jc w:val="center"/>
        <w:rPr>
          <w:rFonts w:ascii="宋体" w:cs="黑体"/>
          <w:spacing w:val="1"/>
          <w:sz w:val="36"/>
        </w:rPr>
      </w:pPr>
    </w:p>
    <w:p w14:paraId="6B533BBC">
      <w:pPr>
        <w:autoSpaceDE w:val="0"/>
        <w:autoSpaceDN w:val="0"/>
        <w:spacing w:line="360" w:lineRule="exact"/>
        <w:jc w:val="center"/>
        <w:rPr>
          <w:rFonts w:ascii="宋体" w:cs="黑体"/>
          <w:spacing w:val="1"/>
          <w:sz w:val="36"/>
        </w:rPr>
      </w:pPr>
    </w:p>
    <w:p w14:paraId="4CBBE122">
      <w:pPr>
        <w:autoSpaceDE w:val="0"/>
        <w:autoSpaceDN w:val="0"/>
        <w:spacing w:line="360" w:lineRule="exact"/>
        <w:jc w:val="center"/>
        <w:rPr>
          <w:rFonts w:ascii="宋体" w:cs="黑体"/>
          <w:spacing w:val="1"/>
          <w:sz w:val="36"/>
        </w:rPr>
      </w:pPr>
    </w:p>
    <w:p w14:paraId="759EA0D5">
      <w:pPr>
        <w:spacing w:line="0" w:lineRule="atLeast"/>
        <w:jc w:val="left"/>
        <w:rPr>
          <w:rFonts w:ascii="宋体"/>
          <w:sz w:val="2"/>
        </w:rPr>
      </w:pPr>
    </w:p>
    <w:p w14:paraId="55533FBD">
      <w:pPr>
        <w:spacing w:line="0" w:lineRule="atLeast"/>
        <w:jc w:val="left"/>
        <w:rPr>
          <w:rFonts w:ascii="宋体"/>
          <w:sz w:val="2"/>
        </w:rPr>
      </w:pPr>
      <w:r>
        <w:rPr>
          <w:rFonts w:ascii="宋体"/>
          <w:sz w:val="2"/>
        </w:rPr>
        <w:cr/>
      </w:r>
    </w:p>
    <w:p w14:paraId="6309A4B6">
      <w:pPr>
        <w:spacing w:line="0" w:lineRule="atLeast"/>
        <w:jc w:val="left"/>
        <w:rPr>
          <w:rFonts w:ascii="宋体"/>
          <w:sz w:val="2"/>
        </w:rPr>
      </w:pPr>
    </w:p>
    <w:p w14:paraId="20C20E8D">
      <w:pPr>
        <w:spacing w:line="0" w:lineRule="atLeast"/>
        <w:jc w:val="left"/>
        <w:rPr>
          <w:rFonts w:ascii="宋体"/>
          <w:sz w:val="2"/>
        </w:rPr>
      </w:pPr>
    </w:p>
    <w:p w14:paraId="0ED20A13">
      <w:pPr>
        <w:spacing w:line="0" w:lineRule="atLeast"/>
        <w:jc w:val="left"/>
        <w:rPr>
          <w:rFonts w:ascii="宋体"/>
          <w:sz w:val="2"/>
        </w:rPr>
      </w:pPr>
    </w:p>
    <w:p w14:paraId="7664645A">
      <w:pPr>
        <w:spacing w:line="0" w:lineRule="atLeast"/>
        <w:jc w:val="left"/>
        <w:rPr>
          <w:rFonts w:ascii="宋体"/>
          <w:sz w:val="2"/>
        </w:rPr>
      </w:pPr>
    </w:p>
    <w:p w14:paraId="3ACCC372">
      <w:pPr>
        <w:spacing w:line="0" w:lineRule="atLeast"/>
        <w:jc w:val="left"/>
        <w:rPr>
          <w:rFonts w:ascii="宋体"/>
          <w:sz w:val="2"/>
        </w:rPr>
      </w:pPr>
    </w:p>
    <w:p w14:paraId="591D0588">
      <w:pPr>
        <w:spacing w:line="0" w:lineRule="atLeast"/>
        <w:jc w:val="left"/>
        <w:rPr>
          <w:rFonts w:ascii="宋体"/>
          <w:sz w:val="2"/>
        </w:rPr>
      </w:pPr>
    </w:p>
    <w:p w14:paraId="69C2AF30">
      <w:pPr>
        <w:spacing w:line="0" w:lineRule="atLeast"/>
        <w:jc w:val="left"/>
        <w:rPr>
          <w:rFonts w:ascii="宋体"/>
          <w:sz w:val="2"/>
        </w:rPr>
      </w:pPr>
    </w:p>
    <w:p w14:paraId="2FD0C241">
      <w:pPr>
        <w:spacing w:line="0" w:lineRule="atLeast"/>
        <w:jc w:val="left"/>
        <w:rPr>
          <w:rFonts w:ascii="宋体"/>
          <w:sz w:val="2"/>
        </w:rPr>
      </w:pPr>
    </w:p>
    <w:p w14:paraId="4B276A60">
      <w:pPr>
        <w:spacing w:line="0" w:lineRule="atLeast"/>
        <w:jc w:val="left"/>
        <w:rPr>
          <w:rFonts w:ascii="宋体"/>
          <w:sz w:val="2"/>
        </w:rPr>
      </w:pPr>
    </w:p>
    <w:p w14:paraId="2DD0F5B8">
      <w:pPr>
        <w:spacing w:line="0" w:lineRule="atLeast"/>
        <w:jc w:val="left"/>
        <w:rPr>
          <w:rFonts w:ascii="宋体"/>
          <w:sz w:val="2"/>
        </w:rPr>
      </w:pPr>
    </w:p>
    <w:p w14:paraId="4CA0DF18">
      <w:pPr>
        <w:spacing w:line="0" w:lineRule="atLeast"/>
        <w:jc w:val="left"/>
        <w:rPr>
          <w:rFonts w:ascii="宋体"/>
          <w:sz w:val="2"/>
        </w:rPr>
      </w:pPr>
    </w:p>
    <w:p w14:paraId="66685C73">
      <w:pPr>
        <w:spacing w:line="0" w:lineRule="atLeast"/>
        <w:jc w:val="left"/>
        <w:rPr>
          <w:rFonts w:ascii="宋体"/>
          <w:sz w:val="2"/>
        </w:rPr>
      </w:pPr>
    </w:p>
    <w:p w14:paraId="0E585A53">
      <w:pPr>
        <w:spacing w:line="0" w:lineRule="atLeast"/>
        <w:jc w:val="left"/>
        <w:rPr>
          <w:rFonts w:ascii="宋体"/>
          <w:sz w:val="2"/>
        </w:rPr>
      </w:pPr>
    </w:p>
    <w:p w14:paraId="7AEC1E11">
      <w:pPr>
        <w:spacing w:line="0" w:lineRule="atLeast"/>
        <w:jc w:val="left"/>
        <w:rPr>
          <w:rFonts w:ascii="宋体"/>
          <w:sz w:val="2"/>
        </w:rPr>
      </w:pPr>
    </w:p>
    <w:p w14:paraId="668485F9">
      <w:pPr>
        <w:spacing w:line="0" w:lineRule="atLeast"/>
        <w:jc w:val="left"/>
        <w:rPr>
          <w:rFonts w:ascii="宋体"/>
          <w:sz w:val="2"/>
        </w:rPr>
      </w:pPr>
    </w:p>
    <w:p w14:paraId="79A11D4C">
      <w:pPr>
        <w:spacing w:line="0" w:lineRule="atLeast"/>
        <w:jc w:val="left"/>
        <w:rPr>
          <w:rFonts w:ascii="宋体"/>
          <w:sz w:val="2"/>
        </w:rPr>
      </w:pPr>
    </w:p>
    <w:p w14:paraId="0741D5C5">
      <w:pPr>
        <w:spacing w:line="0" w:lineRule="atLeast"/>
        <w:jc w:val="left"/>
        <w:rPr>
          <w:rFonts w:ascii="宋体"/>
          <w:sz w:val="2"/>
        </w:rPr>
      </w:pPr>
    </w:p>
    <w:p w14:paraId="79A47092">
      <w:pPr>
        <w:spacing w:line="0" w:lineRule="atLeast"/>
        <w:jc w:val="left"/>
        <w:rPr>
          <w:rFonts w:ascii="宋体"/>
          <w:sz w:val="2"/>
        </w:rPr>
      </w:pPr>
    </w:p>
    <w:p w14:paraId="19EA7BD3">
      <w:pPr>
        <w:spacing w:line="0" w:lineRule="atLeast"/>
        <w:jc w:val="left"/>
        <w:rPr>
          <w:rFonts w:ascii="宋体"/>
          <w:sz w:val="2"/>
        </w:rPr>
      </w:pPr>
    </w:p>
    <w:p w14:paraId="60279A6D">
      <w:pPr>
        <w:spacing w:line="0" w:lineRule="atLeast"/>
        <w:ind w:firstLine="362" w:firstLineChars="100"/>
        <w:jc w:val="left"/>
        <w:rPr>
          <w:rFonts w:ascii="宋体" w:cs="宋体"/>
          <w:spacing w:val="1"/>
          <w:sz w:val="36"/>
        </w:rPr>
      </w:pPr>
    </w:p>
    <w:p w14:paraId="4D2E387E">
      <w:pPr>
        <w:spacing w:line="0" w:lineRule="atLeast"/>
        <w:ind w:firstLine="362" w:firstLineChars="100"/>
        <w:jc w:val="left"/>
        <w:rPr>
          <w:rFonts w:ascii="宋体" w:cs="宋体"/>
          <w:spacing w:val="1"/>
          <w:sz w:val="36"/>
        </w:rPr>
      </w:pPr>
    </w:p>
    <w:p w14:paraId="40021A87">
      <w:pPr>
        <w:spacing w:line="0" w:lineRule="atLeast"/>
        <w:ind w:firstLine="362" w:firstLineChars="100"/>
        <w:jc w:val="left"/>
        <w:rPr>
          <w:rFonts w:ascii="宋体" w:cs="宋体"/>
          <w:spacing w:val="1"/>
          <w:sz w:val="36"/>
        </w:rPr>
      </w:pPr>
    </w:p>
    <w:p w14:paraId="7DE3DD28">
      <w:pPr>
        <w:spacing w:line="0" w:lineRule="atLeast"/>
        <w:ind w:firstLine="362" w:firstLineChars="100"/>
        <w:jc w:val="left"/>
        <w:rPr>
          <w:rFonts w:ascii="宋体" w:cs="宋体"/>
          <w:spacing w:val="1"/>
          <w:sz w:val="36"/>
        </w:rPr>
      </w:pPr>
    </w:p>
    <w:p w14:paraId="28EF1846">
      <w:pPr>
        <w:pStyle w:val="23"/>
        <w:ind w:firstLine="420"/>
      </w:pPr>
    </w:p>
    <w:p w14:paraId="2D2ADE82">
      <w:pPr>
        <w:spacing w:line="0" w:lineRule="atLeast"/>
        <w:ind w:firstLine="362" w:firstLineChars="100"/>
        <w:jc w:val="left"/>
        <w:rPr>
          <w:rFonts w:ascii="宋体" w:cs="宋体"/>
          <w:spacing w:val="1"/>
          <w:sz w:val="36"/>
        </w:rPr>
      </w:pPr>
    </w:p>
    <w:p w14:paraId="7ADB5D1E">
      <w:pPr>
        <w:spacing w:line="0" w:lineRule="atLeast"/>
        <w:jc w:val="center"/>
        <w:rPr>
          <w:rFonts w:ascii="宋体" w:cs="宋体"/>
          <w:spacing w:val="1"/>
          <w:sz w:val="36"/>
        </w:rPr>
      </w:pPr>
    </w:p>
    <w:p w14:paraId="13B36784">
      <w:pPr>
        <w:spacing w:line="0" w:lineRule="atLeast"/>
        <w:jc w:val="center"/>
        <w:rPr>
          <w:rFonts w:ascii="宋体" w:cs="宋体"/>
          <w:spacing w:val="1"/>
          <w:sz w:val="36"/>
        </w:rPr>
      </w:pPr>
    </w:p>
    <w:p w14:paraId="614A141F">
      <w:pPr>
        <w:spacing w:line="0" w:lineRule="atLeast"/>
        <w:jc w:val="center"/>
        <w:rPr>
          <w:rFonts w:ascii="宋体" w:cs="宋体"/>
          <w:spacing w:val="1"/>
          <w:sz w:val="36"/>
          <w:szCs w:val="36"/>
        </w:rPr>
      </w:pPr>
      <w:r>
        <w:rPr>
          <w:rFonts w:ascii="宋体" w:cs="宋体"/>
          <w:spacing w:val="1"/>
          <w:sz w:val="36"/>
          <w:szCs w:val="36"/>
        </w:rPr>
        <w:t>采购人：南京市雨花台烈士陵园管理局</w:t>
      </w:r>
    </w:p>
    <w:p w14:paraId="1A282C84">
      <w:pPr>
        <w:autoSpaceDE w:val="0"/>
        <w:autoSpaceDN w:val="0"/>
        <w:spacing w:line="319" w:lineRule="exact"/>
        <w:jc w:val="center"/>
        <w:rPr>
          <w:rFonts w:ascii="宋体" w:cs="宋体"/>
          <w:spacing w:val="1"/>
          <w:sz w:val="32"/>
        </w:rPr>
      </w:pPr>
    </w:p>
    <w:p w14:paraId="6B85E2CB">
      <w:pPr>
        <w:autoSpaceDE w:val="0"/>
        <w:autoSpaceDN w:val="0"/>
        <w:spacing w:line="319" w:lineRule="exact"/>
        <w:jc w:val="center"/>
        <w:rPr>
          <w:rFonts w:ascii="宋体"/>
          <w:sz w:val="44"/>
          <w:szCs w:val="44"/>
        </w:rPr>
      </w:pPr>
      <w:r>
        <w:rPr>
          <w:rFonts w:hint="eastAsia" w:ascii="宋体" w:cs="宋体"/>
          <w:spacing w:val="1"/>
          <w:sz w:val="32"/>
          <w:szCs w:val="32"/>
        </w:rPr>
        <w:t>日期：202</w:t>
      </w:r>
      <w:r>
        <w:rPr>
          <w:rFonts w:hint="eastAsia" w:ascii="宋体" w:cs="宋体"/>
          <w:spacing w:val="1"/>
          <w:sz w:val="32"/>
          <w:szCs w:val="32"/>
          <w:lang w:val="en-US" w:eastAsia="zh-CN"/>
        </w:rPr>
        <w:t>5</w:t>
      </w:r>
      <w:r>
        <w:rPr>
          <w:rFonts w:hint="eastAsia" w:ascii="宋体" w:cs="宋体"/>
          <w:spacing w:val="1"/>
          <w:sz w:val="32"/>
          <w:szCs w:val="32"/>
        </w:rPr>
        <w:t>年</w:t>
      </w:r>
      <w:r>
        <w:rPr>
          <w:rFonts w:hint="eastAsia" w:ascii="宋体" w:cs="宋体"/>
          <w:spacing w:val="1"/>
          <w:sz w:val="32"/>
          <w:szCs w:val="32"/>
          <w:lang w:val="en-US" w:eastAsia="zh-CN"/>
        </w:rPr>
        <w:t>11</w:t>
      </w:r>
      <w:r>
        <w:rPr>
          <w:rFonts w:hint="eastAsia" w:ascii="宋体" w:cs="宋体"/>
          <w:spacing w:val="1"/>
          <w:sz w:val="32"/>
          <w:szCs w:val="32"/>
        </w:rPr>
        <w:t>月</w:t>
      </w:r>
    </w:p>
    <w:p w14:paraId="25FB6DC8">
      <w:pPr>
        <w:autoSpaceDE w:val="0"/>
        <w:autoSpaceDN w:val="0"/>
        <w:spacing w:before="312" w:beforeLines="100" w:after="312" w:afterLines="100" w:line="319" w:lineRule="exact"/>
        <w:jc w:val="center"/>
        <w:rPr>
          <w:rFonts w:ascii="宋体" w:cs="宋体"/>
          <w:sz w:val="32"/>
          <w:szCs w:val="32"/>
        </w:rPr>
      </w:pPr>
      <w:r>
        <w:rPr>
          <w:rFonts w:ascii="宋体"/>
          <w:sz w:val="44"/>
          <w:szCs w:val="44"/>
        </w:rPr>
        <w:br w:type="page"/>
      </w:r>
      <w:r>
        <w:rPr>
          <w:rFonts w:ascii="宋体"/>
          <w:sz w:val="44"/>
          <w:szCs w:val="44"/>
        </w:rPr>
        <w:t xml:space="preserve"> </w:t>
      </w:r>
      <w:r>
        <w:rPr>
          <w:rFonts w:hint="eastAsia" w:ascii="宋体" w:cs="宋体"/>
          <w:spacing w:val="1"/>
          <w:sz w:val="32"/>
          <w:szCs w:val="32"/>
        </w:rPr>
        <w:t>第一章  磋商公告</w:t>
      </w:r>
    </w:p>
    <w:p w14:paraId="5F879B15">
      <w:pPr>
        <w:widowControl/>
        <w:jc w:val="left"/>
        <w:rPr>
          <w:rFonts w:ascii="宋体"/>
          <w:sz w:val="44"/>
          <w:szCs w:val="44"/>
        </w:rPr>
      </w:pPr>
    </w:p>
    <w:p w14:paraId="290AAD8E">
      <w:pPr>
        <w:spacing w:line="580" w:lineRule="exact"/>
        <w:ind w:firstLine="600" w:firstLineChars="200"/>
        <w:rPr>
          <w:rFonts w:hint="eastAsia" w:ascii="宋体" w:cs="宋体"/>
          <w:sz w:val="30"/>
          <w:szCs w:val="30"/>
        </w:rPr>
      </w:pPr>
      <w:r>
        <w:rPr>
          <w:rFonts w:hint="eastAsia" w:ascii="宋体"/>
          <w:sz w:val="30"/>
          <w:szCs w:val="30"/>
        </w:rPr>
        <w:t>为</w:t>
      </w:r>
      <w:r>
        <w:rPr>
          <w:rFonts w:hint="eastAsia" w:ascii="宋体"/>
          <w:sz w:val="30"/>
          <w:szCs w:val="30"/>
          <w:lang w:eastAsia="zh-CN"/>
        </w:rPr>
        <w:t>进一步常态化监测雨花台烈士陵园相关网络信息，为网络信息风险研判和处置提供技术支持</w:t>
      </w:r>
      <w:r>
        <w:rPr>
          <w:rFonts w:hint="eastAsia" w:ascii="宋体"/>
          <w:sz w:val="30"/>
          <w:szCs w:val="30"/>
        </w:rPr>
        <w:t>，我局决定启动</w:t>
      </w:r>
      <w:r>
        <w:rPr>
          <w:rFonts w:hint="eastAsia" w:ascii="宋体"/>
          <w:sz w:val="30"/>
          <w:szCs w:val="30"/>
          <w:lang w:eastAsia="zh-CN"/>
        </w:rPr>
        <w:t>开展</w:t>
      </w:r>
      <w:r>
        <w:rPr>
          <w:rFonts w:hint="eastAsia" w:ascii="宋体"/>
          <w:sz w:val="30"/>
          <w:szCs w:val="30"/>
        </w:rPr>
        <w:t>网络信息监测项目，通过竞争性磋商方式购买相关服务。</w:t>
      </w:r>
      <w:r>
        <w:rPr>
          <w:rFonts w:hint="eastAsia" w:ascii="宋体" w:cs="宋体"/>
          <w:sz w:val="30"/>
          <w:szCs w:val="30"/>
        </w:rPr>
        <w:t>欢迎符合资格条件的供应商参加报价。</w:t>
      </w:r>
    </w:p>
    <w:p w14:paraId="6D83A57F">
      <w:pPr>
        <w:spacing w:line="580" w:lineRule="exact"/>
        <w:ind w:firstLine="600" w:firstLineChars="200"/>
        <w:rPr>
          <w:rFonts w:hint="eastAsia" w:ascii="宋体" w:eastAsia="宋体" w:cs="宋体"/>
          <w:sz w:val="30"/>
          <w:szCs w:val="30"/>
          <w:lang w:eastAsia="zh-CN"/>
        </w:rPr>
      </w:pPr>
      <w:r>
        <w:rPr>
          <w:rFonts w:hint="eastAsia" w:ascii="宋体" w:cs="宋体"/>
          <w:sz w:val="30"/>
          <w:szCs w:val="30"/>
          <w:lang w:eastAsia="zh-CN"/>
        </w:rPr>
        <w:t>本文件网络发布地址：https://yht.nanjing.gov.cn/zwb/dzxx/</w:t>
      </w:r>
    </w:p>
    <w:p w14:paraId="2378CACE">
      <w:pPr>
        <w:spacing w:line="580" w:lineRule="exact"/>
        <w:jc w:val="left"/>
        <w:rPr>
          <w:rFonts w:ascii="宋体"/>
          <w:sz w:val="30"/>
          <w:szCs w:val="30"/>
        </w:rPr>
      </w:pPr>
      <w:r>
        <w:rPr>
          <w:rFonts w:hint="eastAsia" w:ascii="宋体"/>
          <w:sz w:val="30"/>
          <w:szCs w:val="30"/>
        </w:rPr>
        <w:t>一、项目基本情况</w:t>
      </w:r>
    </w:p>
    <w:p w14:paraId="492BDCDF">
      <w:pPr>
        <w:spacing w:line="580" w:lineRule="exact"/>
        <w:ind w:firstLine="600" w:firstLineChars="200"/>
        <w:rPr>
          <w:rFonts w:ascii="宋体"/>
          <w:sz w:val="30"/>
          <w:szCs w:val="30"/>
        </w:rPr>
      </w:pPr>
      <w:r>
        <w:rPr>
          <w:rFonts w:hint="eastAsia" w:ascii="宋体"/>
          <w:sz w:val="30"/>
          <w:szCs w:val="30"/>
        </w:rPr>
        <w:t>1、项目名称：网络信息监测项目</w:t>
      </w:r>
    </w:p>
    <w:p w14:paraId="466AF226">
      <w:pPr>
        <w:spacing w:line="580" w:lineRule="exact"/>
        <w:ind w:firstLine="548" w:firstLineChars="200"/>
        <w:rPr>
          <w:rFonts w:ascii="宋体"/>
          <w:sz w:val="30"/>
          <w:szCs w:val="30"/>
        </w:rPr>
      </w:pPr>
      <w:r>
        <w:rPr>
          <w:rFonts w:hint="eastAsia" w:ascii="宋体" w:cs="宋体"/>
          <w:spacing w:val="-3"/>
          <w:sz w:val="28"/>
          <w:szCs w:val="28"/>
        </w:rPr>
        <w:t>2、项目概况：</w:t>
      </w:r>
      <w:r>
        <w:rPr>
          <w:rFonts w:hint="eastAsia" w:ascii="宋体"/>
          <w:sz w:val="30"/>
          <w:szCs w:val="30"/>
          <w:lang w:eastAsia="zh-CN"/>
        </w:rPr>
        <w:t>乙方</w:t>
      </w:r>
      <w:r>
        <w:rPr>
          <w:rFonts w:hint="eastAsia" w:ascii="宋体"/>
          <w:sz w:val="30"/>
          <w:szCs w:val="30"/>
        </w:rPr>
        <w:t>协助甲方做好雨花台烈士陵园相关网络信息监测、技术支持，并定期形成文件报告。（具体详见采购需求）</w:t>
      </w:r>
    </w:p>
    <w:p w14:paraId="0713482C">
      <w:pPr>
        <w:spacing w:line="580" w:lineRule="exact"/>
        <w:ind w:firstLine="600" w:firstLineChars="200"/>
        <w:jc w:val="left"/>
        <w:rPr>
          <w:rFonts w:ascii="宋体"/>
          <w:sz w:val="30"/>
          <w:szCs w:val="30"/>
        </w:rPr>
      </w:pPr>
      <w:r>
        <w:rPr>
          <w:rFonts w:ascii="宋体"/>
          <w:sz w:val="30"/>
          <w:szCs w:val="30"/>
        </w:rPr>
        <w:t>3</w:t>
      </w:r>
      <w:r>
        <w:rPr>
          <w:rFonts w:hint="eastAsia" w:ascii="宋体"/>
          <w:sz w:val="30"/>
          <w:szCs w:val="30"/>
        </w:rPr>
        <w:t>、采购方式：竞争性磋商</w:t>
      </w:r>
    </w:p>
    <w:p w14:paraId="320F1F16">
      <w:pPr>
        <w:spacing w:line="580" w:lineRule="exact"/>
        <w:ind w:firstLine="602" w:firstLineChars="200"/>
        <w:jc w:val="left"/>
        <w:rPr>
          <w:rFonts w:ascii="宋体"/>
          <w:b/>
          <w:sz w:val="30"/>
          <w:szCs w:val="30"/>
        </w:rPr>
      </w:pPr>
      <w:r>
        <w:rPr>
          <w:rFonts w:ascii="宋体"/>
          <w:b/>
          <w:sz w:val="30"/>
          <w:szCs w:val="30"/>
        </w:rPr>
        <w:t>4</w:t>
      </w:r>
      <w:r>
        <w:rPr>
          <w:rFonts w:hint="eastAsia" w:ascii="宋体"/>
          <w:b/>
          <w:sz w:val="30"/>
          <w:szCs w:val="30"/>
        </w:rPr>
        <w:t>、预算金额：</w:t>
      </w:r>
      <w:r>
        <w:rPr>
          <w:rFonts w:hint="default" w:ascii="宋体"/>
          <w:b/>
          <w:sz w:val="30"/>
          <w:szCs w:val="30"/>
          <w:lang w:val="en-US"/>
        </w:rPr>
        <w:t>4.9</w:t>
      </w:r>
      <w:r>
        <w:rPr>
          <w:rFonts w:hint="eastAsia" w:ascii="宋体"/>
          <w:b/>
          <w:sz w:val="30"/>
          <w:szCs w:val="30"/>
        </w:rPr>
        <w:t>万元；报价超过本项目预算金额的将作无效处理。</w:t>
      </w:r>
    </w:p>
    <w:p w14:paraId="702FC392">
      <w:pPr>
        <w:spacing w:line="580" w:lineRule="exact"/>
        <w:ind w:firstLine="600" w:firstLineChars="200"/>
        <w:jc w:val="left"/>
        <w:rPr>
          <w:rFonts w:hint="eastAsia" w:ascii="宋体"/>
          <w:sz w:val="30"/>
          <w:szCs w:val="30"/>
        </w:rPr>
      </w:pPr>
      <w:r>
        <w:rPr>
          <w:rFonts w:ascii="宋体"/>
          <w:sz w:val="30"/>
          <w:szCs w:val="30"/>
        </w:rPr>
        <w:t>5</w:t>
      </w:r>
      <w:r>
        <w:rPr>
          <w:rFonts w:hint="eastAsia" w:ascii="宋体"/>
          <w:sz w:val="30"/>
          <w:szCs w:val="30"/>
        </w:rPr>
        <w:t>、合同履行期限：自合同签订之日起至202</w:t>
      </w:r>
      <w:r>
        <w:rPr>
          <w:rFonts w:hint="eastAsia" w:ascii="宋体"/>
          <w:sz w:val="30"/>
          <w:szCs w:val="30"/>
          <w:lang w:val="en-US" w:eastAsia="zh-CN"/>
        </w:rPr>
        <w:t>6</w:t>
      </w:r>
      <w:r>
        <w:rPr>
          <w:rFonts w:hint="eastAsia" w:ascii="宋体"/>
          <w:sz w:val="30"/>
          <w:szCs w:val="30"/>
        </w:rPr>
        <w:t>年1</w:t>
      </w:r>
      <w:r>
        <w:rPr>
          <w:rFonts w:hint="eastAsia" w:ascii="宋体"/>
          <w:sz w:val="30"/>
          <w:szCs w:val="30"/>
          <w:lang w:val="en-US" w:eastAsia="zh-CN"/>
        </w:rPr>
        <w:t>1</w:t>
      </w:r>
      <w:r>
        <w:rPr>
          <w:rFonts w:hint="eastAsia" w:ascii="宋体"/>
          <w:sz w:val="30"/>
          <w:szCs w:val="30"/>
        </w:rPr>
        <w:t>月</w:t>
      </w:r>
      <w:r>
        <w:rPr>
          <w:rFonts w:hint="eastAsia" w:ascii="宋体"/>
          <w:sz w:val="30"/>
          <w:szCs w:val="30"/>
          <w:lang w:val="en-US" w:eastAsia="zh-CN"/>
        </w:rPr>
        <w:t>10日</w:t>
      </w:r>
      <w:r>
        <w:rPr>
          <w:rFonts w:hint="eastAsia" w:ascii="宋体"/>
          <w:sz w:val="30"/>
          <w:szCs w:val="30"/>
        </w:rPr>
        <w:t>结束；</w:t>
      </w:r>
    </w:p>
    <w:p w14:paraId="55F5F684">
      <w:pPr>
        <w:spacing w:line="580" w:lineRule="exact"/>
        <w:ind w:firstLine="600" w:firstLineChars="200"/>
        <w:jc w:val="left"/>
        <w:rPr>
          <w:rFonts w:ascii="宋体"/>
          <w:sz w:val="30"/>
          <w:szCs w:val="30"/>
        </w:rPr>
      </w:pPr>
      <w:r>
        <w:rPr>
          <w:rFonts w:ascii="宋体"/>
          <w:sz w:val="30"/>
          <w:szCs w:val="30"/>
        </w:rPr>
        <w:t>6</w:t>
      </w:r>
      <w:r>
        <w:rPr>
          <w:rFonts w:hint="eastAsia" w:ascii="宋体"/>
          <w:sz w:val="30"/>
          <w:szCs w:val="30"/>
        </w:rPr>
        <w:t>、本竞争性磋商文件由南京市雨花台烈士陵园管理局拥有最终解释权。</w:t>
      </w:r>
    </w:p>
    <w:p w14:paraId="179CBAC1">
      <w:pPr>
        <w:spacing w:line="580" w:lineRule="exact"/>
        <w:jc w:val="left"/>
        <w:rPr>
          <w:rFonts w:ascii="宋体"/>
          <w:sz w:val="30"/>
          <w:szCs w:val="30"/>
        </w:rPr>
      </w:pPr>
      <w:r>
        <w:rPr>
          <w:rFonts w:hint="eastAsia" w:ascii="宋体"/>
          <w:sz w:val="30"/>
          <w:szCs w:val="30"/>
        </w:rPr>
        <w:t>二、供应商资格要求</w:t>
      </w:r>
    </w:p>
    <w:p w14:paraId="2B0DE4A6">
      <w:pPr>
        <w:autoSpaceDE w:val="0"/>
        <w:autoSpaceDN w:val="0"/>
        <w:ind w:firstLine="600" w:firstLineChars="200"/>
        <w:rPr>
          <w:rFonts w:ascii="宋体"/>
          <w:sz w:val="30"/>
          <w:szCs w:val="30"/>
        </w:rPr>
      </w:pPr>
      <w:r>
        <w:rPr>
          <w:rFonts w:hint="eastAsia" w:ascii="宋体"/>
          <w:sz w:val="30"/>
          <w:szCs w:val="30"/>
        </w:rPr>
        <w:t>1、供应商应当具备《中华人民共和国政府采购法》规定的条件并提供相应证明材料：</w:t>
      </w:r>
    </w:p>
    <w:p w14:paraId="3E76148A">
      <w:pPr>
        <w:spacing w:line="580" w:lineRule="exact"/>
        <w:ind w:firstLine="600" w:firstLineChars="200"/>
        <w:rPr>
          <w:rFonts w:ascii="宋体"/>
          <w:sz w:val="30"/>
          <w:szCs w:val="30"/>
        </w:rPr>
      </w:pPr>
      <w:r>
        <w:rPr>
          <w:rFonts w:hint="eastAsia" w:ascii="宋体"/>
          <w:sz w:val="30"/>
          <w:szCs w:val="30"/>
        </w:rPr>
        <w:t>（1）具有独立承担民事责任的能力（提供法人或者其他组织的营业执照、税务登记证、组织机构代码证，或三证合一，自然人的身份证明，复印件加盖公章）；</w:t>
      </w:r>
    </w:p>
    <w:p w14:paraId="3DC00076">
      <w:pPr>
        <w:spacing w:line="580" w:lineRule="exact"/>
        <w:ind w:firstLine="600" w:firstLineChars="200"/>
        <w:rPr>
          <w:rFonts w:ascii="宋体"/>
          <w:sz w:val="30"/>
          <w:szCs w:val="30"/>
        </w:rPr>
      </w:pPr>
      <w:r>
        <w:rPr>
          <w:rFonts w:hint="eastAsia" w:ascii="宋体"/>
          <w:sz w:val="30"/>
          <w:szCs w:val="30"/>
        </w:rPr>
        <w:t>（2）具有良好的商业信誉和健全的财务会计制度（提供参加本次政府采购活动前的会计报表）；</w:t>
      </w:r>
    </w:p>
    <w:p w14:paraId="2E2C88C2">
      <w:pPr>
        <w:autoSpaceDE w:val="0"/>
        <w:autoSpaceDN w:val="0"/>
        <w:ind w:firstLine="600" w:firstLineChars="200"/>
        <w:jc w:val="left"/>
        <w:rPr>
          <w:rFonts w:ascii="宋体"/>
          <w:sz w:val="30"/>
          <w:szCs w:val="30"/>
        </w:rPr>
      </w:pPr>
      <w:r>
        <w:rPr>
          <w:rFonts w:hint="eastAsia" w:ascii="宋体"/>
          <w:sz w:val="30"/>
          <w:szCs w:val="30"/>
        </w:rPr>
        <w:t>（3）具有履行合同所必需的设备和专业技术能力（根据项目需求提供履行合同所必需的设备和专业技术能力的承诺书）（格式自拟）；</w:t>
      </w:r>
    </w:p>
    <w:p w14:paraId="63215DD8">
      <w:pPr>
        <w:autoSpaceDE w:val="0"/>
        <w:autoSpaceDN w:val="0"/>
        <w:ind w:firstLine="600" w:firstLineChars="200"/>
        <w:jc w:val="left"/>
        <w:rPr>
          <w:rFonts w:ascii="宋体"/>
          <w:sz w:val="30"/>
          <w:szCs w:val="30"/>
        </w:rPr>
      </w:pPr>
      <w:r>
        <w:rPr>
          <w:rFonts w:hint="eastAsia" w:ascii="宋体"/>
          <w:sz w:val="30"/>
          <w:szCs w:val="30"/>
        </w:rPr>
        <w:t>（4）有依法缴纳税收和社会保障资金的良好记录[提供参加本次竞争性磋商采购活动前（一个月）依法缴纳税收和社会保障资金的相关材料复印件加盖公章]；</w:t>
      </w:r>
    </w:p>
    <w:p w14:paraId="3365617E">
      <w:pPr>
        <w:autoSpaceDE w:val="0"/>
        <w:autoSpaceDN w:val="0"/>
        <w:ind w:firstLine="600" w:firstLineChars="200"/>
        <w:jc w:val="left"/>
        <w:rPr>
          <w:rFonts w:ascii="宋体"/>
          <w:sz w:val="30"/>
          <w:szCs w:val="30"/>
        </w:rPr>
      </w:pPr>
      <w:r>
        <w:rPr>
          <w:rFonts w:hint="eastAsia" w:ascii="宋体"/>
          <w:sz w:val="30"/>
          <w:szCs w:val="30"/>
        </w:rPr>
        <w:t>（5）参加政府采购活动前三年内，在经营活动中没有重大违法记录（提供参加本次竞争性磋商采购活动前3年内在经营活动中没有重大违法记录的书面声明原件）；（格式自拟）</w:t>
      </w:r>
    </w:p>
    <w:p w14:paraId="25ECBD6B">
      <w:pPr>
        <w:autoSpaceDE w:val="0"/>
        <w:autoSpaceDN w:val="0"/>
        <w:ind w:firstLine="600" w:firstLineChars="200"/>
        <w:jc w:val="left"/>
        <w:rPr>
          <w:rFonts w:ascii="宋体"/>
          <w:sz w:val="30"/>
          <w:szCs w:val="30"/>
        </w:rPr>
      </w:pPr>
      <w:r>
        <w:rPr>
          <w:rFonts w:hint="eastAsia" w:ascii="宋体"/>
          <w:sz w:val="30"/>
          <w:szCs w:val="30"/>
        </w:rPr>
        <w:t>（6）法律、行政法规规定的其他条件。</w:t>
      </w:r>
    </w:p>
    <w:p w14:paraId="61B7C446">
      <w:pPr>
        <w:autoSpaceDE w:val="0"/>
        <w:autoSpaceDN w:val="0"/>
        <w:ind w:firstLine="600" w:firstLineChars="200"/>
        <w:jc w:val="left"/>
        <w:rPr>
          <w:rFonts w:ascii="宋体"/>
          <w:sz w:val="30"/>
          <w:szCs w:val="30"/>
        </w:rPr>
      </w:pPr>
      <w:r>
        <w:rPr>
          <w:rFonts w:hint="eastAsia" w:ascii="宋体"/>
          <w:sz w:val="30"/>
          <w:szCs w:val="30"/>
        </w:rPr>
        <w:t>2、本次招标不接受联合体投标。</w:t>
      </w:r>
    </w:p>
    <w:p w14:paraId="790BD7BF">
      <w:pPr>
        <w:autoSpaceDE w:val="0"/>
        <w:autoSpaceDN w:val="0"/>
        <w:ind w:firstLine="600" w:firstLineChars="200"/>
        <w:jc w:val="left"/>
        <w:rPr>
          <w:rFonts w:ascii="宋体"/>
          <w:sz w:val="30"/>
          <w:szCs w:val="30"/>
        </w:rPr>
      </w:pPr>
      <w:r>
        <w:rPr>
          <w:rFonts w:ascii="宋体"/>
          <w:sz w:val="30"/>
          <w:szCs w:val="30"/>
        </w:rPr>
        <w:t>3</w:t>
      </w:r>
      <w:r>
        <w:rPr>
          <w:rFonts w:hint="eastAsia" w:ascii="宋体"/>
          <w:sz w:val="30"/>
          <w:szCs w:val="30"/>
        </w:rPr>
        <w:t>、公司负责人为同一人或者存在直接控股、管理关系的不同供应商，不得同时参加本次竞争性磋商采购。</w:t>
      </w:r>
    </w:p>
    <w:p w14:paraId="6C49F691">
      <w:pPr>
        <w:autoSpaceDE w:val="0"/>
        <w:autoSpaceDN w:val="0"/>
        <w:ind w:firstLine="600" w:firstLineChars="200"/>
        <w:jc w:val="left"/>
        <w:rPr>
          <w:rFonts w:hint="eastAsia" w:ascii="宋体"/>
          <w:sz w:val="30"/>
          <w:szCs w:val="30"/>
        </w:rPr>
      </w:pPr>
      <w:r>
        <w:rPr>
          <w:rFonts w:hint="eastAsia" w:ascii="宋体"/>
          <w:sz w:val="30"/>
          <w:szCs w:val="30"/>
        </w:rPr>
        <w:t>4、拒绝列入失信被执行人、重大税收违法案件当事人名单、政府采购严重违法失信行为记录名单的供应商参与竞争性磋商采购。供应商在取得竞争性磋商响应文件截止时间前，通过“中国政府采购网”、“信用中国”网站、“信用江苏”网站等渠道查询供应商的信用记录并保存。</w:t>
      </w:r>
    </w:p>
    <w:p w14:paraId="7BB96938">
      <w:pPr>
        <w:autoSpaceDE w:val="0"/>
        <w:autoSpaceDN w:val="0"/>
        <w:ind w:firstLine="600" w:firstLineChars="200"/>
        <w:jc w:val="left"/>
        <w:rPr>
          <w:rFonts w:hint="eastAsia" w:ascii="宋体" w:eastAsia="宋体"/>
          <w:sz w:val="30"/>
          <w:szCs w:val="30"/>
          <w:lang w:val="en-US" w:eastAsia="zh-CN"/>
        </w:rPr>
      </w:pPr>
      <w:r>
        <w:rPr>
          <w:rFonts w:hint="eastAsia" w:ascii="宋体"/>
          <w:sz w:val="30"/>
          <w:szCs w:val="30"/>
          <w:lang w:val="en-US" w:eastAsia="zh-CN"/>
        </w:rPr>
        <w:t>5、供应商应具备专业系统和技术，有履行项目服务必要的能力。</w:t>
      </w:r>
    </w:p>
    <w:p w14:paraId="1FC1997A">
      <w:pPr>
        <w:autoSpaceDE w:val="0"/>
        <w:autoSpaceDN w:val="0"/>
        <w:jc w:val="left"/>
        <w:rPr>
          <w:rFonts w:ascii="宋体"/>
          <w:sz w:val="30"/>
          <w:szCs w:val="30"/>
        </w:rPr>
      </w:pPr>
      <w:r>
        <w:rPr>
          <w:rFonts w:hint="eastAsia" w:ascii="宋体"/>
          <w:sz w:val="30"/>
          <w:szCs w:val="30"/>
        </w:rPr>
        <w:t>三、勘察现场、递交响应文件地点、时间和开标时间：</w:t>
      </w:r>
    </w:p>
    <w:p w14:paraId="0F26AFA6">
      <w:pPr>
        <w:autoSpaceDE w:val="0"/>
        <w:autoSpaceDN w:val="0"/>
        <w:ind w:firstLine="600" w:firstLineChars="200"/>
        <w:jc w:val="left"/>
        <w:rPr>
          <w:rFonts w:hint="eastAsia" w:ascii="宋体"/>
          <w:sz w:val="30"/>
          <w:szCs w:val="30"/>
          <w:lang w:val="en-US" w:eastAsia="zh-CN"/>
        </w:rPr>
      </w:pPr>
      <w:r>
        <w:rPr>
          <w:rFonts w:hint="eastAsia" w:ascii="宋体"/>
          <w:sz w:val="30"/>
          <w:szCs w:val="30"/>
          <w:lang w:val="en-US" w:eastAsia="zh-CN"/>
        </w:rPr>
        <w:t xml:space="preserve">本项目不组织勘察现场。 </w:t>
      </w:r>
    </w:p>
    <w:p w14:paraId="0B4A4172">
      <w:pPr>
        <w:autoSpaceDE w:val="0"/>
        <w:autoSpaceDN w:val="0"/>
        <w:ind w:firstLine="600" w:firstLineChars="200"/>
        <w:jc w:val="left"/>
        <w:rPr>
          <w:rFonts w:ascii="宋体"/>
          <w:sz w:val="30"/>
          <w:szCs w:val="30"/>
        </w:rPr>
      </w:pPr>
      <w:r>
        <w:rPr>
          <w:rFonts w:hint="eastAsia" w:ascii="宋体"/>
          <w:sz w:val="30"/>
          <w:szCs w:val="30"/>
        </w:rPr>
        <w:t>递交响应文件地点：南京市雨花台烈士陵园管理局</w:t>
      </w:r>
      <w:r>
        <w:rPr>
          <w:rFonts w:hint="eastAsia" w:ascii="宋体"/>
          <w:sz w:val="30"/>
          <w:szCs w:val="30"/>
          <w:lang w:eastAsia="zh-CN"/>
        </w:rPr>
        <w:t>宣传策划处</w:t>
      </w:r>
      <w:r>
        <w:rPr>
          <w:rFonts w:hint="eastAsia" w:ascii="宋体"/>
          <w:sz w:val="30"/>
          <w:szCs w:val="30"/>
        </w:rPr>
        <w:t>；</w:t>
      </w:r>
    </w:p>
    <w:p w14:paraId="2D7A9C77">
      <w:pPr>
        <w:autoSpaceDE w:val="0"/>
        <w:autoSpaceDN w:val="0"/>
        <w:ind w:firstLine="600" w:firstLineChars="200"/>
        <w:jc w:val="left"/>
        <w:rPr>
          <w:rFonts w:ascii="宋体"/>
          <w:sz w:val="30"/>
          <w:szCs w:val="30"/>
        </w:rPr>
      </w:pPr>
      <w:r>
        <w:rPr>
          <w:rFonts w:hint="eastAsia" w:ascii="宋体"/>
          <w:sz w:val="30"/>
          <w:szCs w:val="30"/>
        </w:rPr>
        <w:t>递交响应文件截止时间：202</w:t>
      </w:r>
      <w:r>
        <w:rPr>
          <w:rFonts w:hint="eastAsia" w:ascii="宋体"/>
          <w:sz w:val="30"/>
          <w:szCs w:val="30"/>
          <w:lang w:val="en-US" w:eastAsia="zh-CN"/>
        </w:rPr>
        <w:t>5</w:t>
      </w:r>
      <w:r>
        <w:rPr>
          <w:rFonts w:hint="eastAsia" w:ascii="宋体"/>
          <w:sz w:val="30"/>
          <w:szCs w:val="30"/>
        </w:rPr>
        <w:t>年</w:t>
      </w:r>
      <w:r>
        <w:rPr>
          <w:rFonts w:hint="eastAsia" w:ascii="宋体"/>
          <w:sz w:val="30"/>
          <w:szCs w:val="30"/>
          <w:lang w:val="en-US" w:eastAsia="zh-CN"/>
        </w:rPr>
        <w:t>11</w:t>
      </w:r>
      <w:r>
        <w:rPr>
          <w:rFonts w:hint="eastAsia" w:ascii="宋体"/>
          <w:sz w:val="30"/>
          <w:szCs w:val="30"/>
        </w:rPr>
        <w:t>月2</w:t>
      </w:r>
      <w:r>
        <w:rPr>
          <w:rFonts w:hint="eastAsia" w:ascii="宋体"/>
          <w:sz w:val="30"/>
          <w:szCs w:val="30"/>
          <w:lang w:val="en-US" w:eastAsia="zh-CN"/>
        </w:rPr>
        <w:t>5</w:t>
      </w:r>
      <w:r>
        <w:rPr>
          <w:rFonts w:hint="eastAsia" w:ascii="宋体"/>
          <w:sz w:val="30"/>
          <w:szCs w:val="30"/>
        </w:rPr>
        <w:t>日15时00分（北京时间）；</w:t>
      </w:r>
    </w:p>
    <w:p w14:paraId="25201F0E">
      <w:pPr>
        <w:autoSpaceDE w:val="0"/>
        <w:autoSpaceDN w:val="0"/>
        <w:ind w:firstLine="600" w:firstLineChars="200"/>
        <w:jc w:val="left"/>
        <w:rPr>
          <w:rFonts w:ascii="宋体"/>
          <w:sz w:val="30"/>
          <w:szCs w:val="30"/>
        </w:rPr>
      </w:pPr>
      <w:r>
        <w:rPr>
          <w:rFonts w:hint="eastAsia" w:ascii="宋体"/>
          <w:sz w:val="30"/>
          <w:szCs w:val="30"/>
        </w:rPr>
        <w:t>逾期未送达指定地点的，不予受理。</w:t>
      </w:r>
    </w:p>
    <w:p w14:paraId="0C3CA430">
      <w:pPr>
        <w:autoSpaceDE w:val="0"/>
        <w:autoSpaceDN w:val="0"/>
        <w:ind w:firstLine="600" w:firstLineChars="200"/>
        <w:jc w:val="left"/>
        <w:rPr>
          <w:rFonts w:ascii="宋体"/>
          <w:sz w:val="30"/>
          <w:szCs w:val="30"/>
        </w:rPr>
      </w:pPr>
      <w:r>
        <w:rPr>
          <w:rFonts w:hint="eastAsia" w:ascii="宋体"/>
          <w:sz w:val="30"/>
          <w:szCs w:val="30"/>
        </w:rPr>
        <w:t>开标时间：202</w:t>
      </w:r>
      <w:r>
        <w:rPr>
          <w:rFonts w:hint="eastAsia" w:ascii="宋体"/>
          <w:sz w:val="30"/>
          <w:szCs w:val="30"/>
          <w:lang w:val="en-US" w:eastAsia="zh-CN"/>
        </w:rPr>
        <w:t>5</w:t>
      </w:r>
      <w:r>
        <w:rPr>
          <w:rFonts w:hint="eastAsia" w:ascii="宋体"/>
          <w:sz w:val="30"/>
          <w:szCs w:val="30"/>
        </w:rPr>
        <w:t>年</w:t>
      </w:r>
      <w:r>
        <w:rPr>
          <w:rFonts w:hint="eastAsia" w:ascii="宋体"/>
          <w:sz w:val="30"/>
          <w:szCs w:val="30"/>
          <w:lang w:val="en-US" w:eastAsia="zh-CN"/>
        </w:rPr>
        <w:t>11</w:t>
      </w:r>
      <w:r>
        <w:rPr>
          <w:rFonts w:hint="eastAsia" w:ascii="宋体"/>
          <w:sz w:val="30"/>
          <w:szCs w:val="30"/>
        </w:rPr>
        <w:t>月2</w:t>
      </w:r>
      <w:r>
        <w:rPr>
          <w:rFonts w:hint="eastAsia" w:ascii="宋体"/>
          <w:sz w:val="30"/>
          <w:szCs w:val="30"/>
          <w:lang w:val="en-US" w:eastAsia="zh-CN"/>
        </w:rPr>
        <w:t>5</w:t>
      </w:r>
      <w:r>
        <w:rPr>
          <w:rFonts w:hint="eastAsia" w:ascii="宋体"/>
          <w:sz w:val="30"/>
          <w:szCs w:val="30"/>
        </w:rPr>
        <w:t>日15时00分。（纸质文件一正两副）</w:t>
      </w:r>
    </w:p>
    <w:p w14:paraId="6FB4DD72">
      <w:pPr>
        <w:autoSpaceDE w:val="0"/>
        <w:autoSpaceDN w:val="0"/>
        <w:jc w:val="left"/>
        <w:rPr>
          <w:rFonts w:ascii="宋体"/>
          <w:sz w:val="30"/>
          <w:szCs w:val="30"/>
        </w:rPr>
      </w:pPr>
      <w:r>
        <w:rPr>
          <w:rFonts w:hint="eastAsia" w:ascii="宋体"/>
          <w:sz w:val="30"/>
          <w:szCs w:val="30"/>
        </w:rPr>
        <w:t>四、本项目在中国雨花台官网上发布公告。</w:t>
      </w:r>
    </w:p>
    <w:p w14:paraId="507BC0FB">
      <w:pPr>
        <w:autoSpaceDE w:val="0"/>
        <w:autoSpaceDN w:val="0"/>
        <w:jc w:val="left"/>
        <w:rPr>
          <w:rFonts w:ascii="宋体"/>
          <w:sz w:val="30"/>
          <w:szCs w:val="30"/>
        </w:rPr>
      </w:pPr>
      <w:r>
        <w:rPr>
          <w:rFonts w:hint="eastAsia" w:ascii="宋体"/>
          <w:sz w:val="30"/>
          <w:szCs w:val="30"/>
        </w:rPr>
        <w:t>五、项目联系方式：</w:t>
      </w:r>
    </w:p>
    <w:p w14:paraId="5244DEC6">
      <w:pPr>
        <w:autoSpaceDE w:val="0"/>
        <w:autoSpaceDN w:val="0"/>
        <w:ind w:firstLine="600" w:firstLineChars="200"/>
        <w:jc w:val="left"/>
        <w:rPr>
          <w:rFonts w:ascii="宋体"/>
          <w:sz w:val="30"/>
          <w:szCs w:val="30"/>
        </w:rPr>
      </w:pPr>
      <w:r>
        <w:rPr>
          <w:rFonts w:hint="eastAsia" w:ascii="宋体"/>
          <w:sz w:val="30"/>
          <w:szCs w:val="30"/>
        </w:rPr>
        <w:t>采购单位联系方式</w:t>
      </w:r>
    </w:p>
    <w:p w14:paraId="2FEF7A01">
      <w:pPr>
        <w:autoSpaceDE w:val="0"/>
        <w:autoSpaceDN w:val="0"/>
        <w:ind w:firstLine="600" w:firstLineChars="200"/>
        <w:jc w:val="left"/>
        <w:rPr>
          <w:rFonts w:hint="eastAsia" w:ascii="宋体" w:eastAsia="宋体"/>
          <w:sz w:val="30"/>
          <w:szCs w:val="30"/>
          <w:lang w:eastAsia="zh-CN"/>
        </w:rPr>
      </w:pPr>
      <w:r>
        <w:rPr>
          <w:rFonts w:hint="eastAsia" w:ascii="宋体"/>
          <w:sz w:val="30"/>
          <w:szCs w:val="30"/>
        </w:rPr>
        <w:t>联系人：</w:t>
      </w:r>
      <w:r>
        <w:rPr>
          <w:rFonts w:hint="eastAsia" w:ascii="宋体"/>
          <w:sz w:val="30"/>
          <w:szCs w:val="30"/>
          <w:lang w:eastAsia="zh-CN"/>
        </w:rPr>
        <w:t>李丹宁</w:t>
      </w:r>
    </w:p>
    <w:p w14:paraId="0A664689">
      <w:pPr>
        <w:autoSpaceDE w:val="0"/>
        <w:autoSpaceDN w:val="0"/>
        <w:ind w:firstLine="600" w:firstLineChars="200"/>
        <w:jc w:val="left"/>
        <w:rPr>
          <w:rFonts w:hint="default" w:ascii="宋体" w:eastAsia="宋体"/>
          <w:sz w:val="30"/>
          <w:szCs w:val="30"/>
          <w:lang w:val="en-US" w:eastAsia="zh-CN"/>
        </w:rPr>
      </w:pPr>
      <w:r>
        <w:rPr>
          <w:rFonts w:hint="eastAsia" w:ascii="宋体"/>
          <w:sz w:val="30"/>
          <w:szCs w:val="30"/>
        </w:rPr>
        <w:t>联系电话：025-68783</w:t>
      </w:r>
      <w:r>
        <w:rPr>
          <w:rFonts w:hint="eastAsia" w:ascii="宋体"/>
          <w:sz w:val="30"/>
          <w:szCs w:val="30"/>
          <w:lang w:val="en-US" w:eastAsia="zh-CN"/>
        </w:rPr>
        <w:t>128</w:t>
      </w:r>
    </w:p>
    <w:p w14:paraId="39B02753">
      <w:pPr>
        <w:spacing w:line="580" w:lineRule="exact"/>
        <w:ind w:firstLine="600" w:firstLineChars="200"/>
        <w:rPr>
          <w:rFonts w:ascii="宋体"/>
          <w:sz w:val="30"/>
          <w:szCs w:val="30"/>
        </w:rPr>
      </w:pPr>
      <w:r>
        <w:rPr>
          <w:rFonts w:hint="eastAsia" w:ascii="宋体"/>
          <w:sz w:val="30"/>
          <w:szCs w:val="30"/>
        </w:rPr>
        <w:t>地址：南京市雨花台区雨花路215号雨花台风景名胜区内</w:t>
      </w:r>
    </w:p>
    <w:p w14:paraId="7B43EA50">
      <w:pPr>
        <w:widowControl/>
        <w:jc w:val="left"/>
        <w:rPr>
          <w:rFonts w:ascii="宋体"/>
          <w:sz w:val="30"/>
          <w:szCs w:val="30"/>
        </w:rPr>
      </w:pPr>
      <w:r>
        <w:rPr>
          <w:rFonts w:ascii="宋体"/>
          <w:sz w:val="30"/>
          <w:szCs w:val="30"/>
        </w:rPr>
        <w:br w:type="page"/>
      </w:r>
    </w:p>
    <w:p w14:paraId="6CA6FAAB">
      <w:pPr>
        <w:jc w:val="center"/>
        <w:rPr>
          <w:rFonts w:ascii="宋体" w:cs="宋体"/>
          <w:spacing w:val="1"/>
          <w:sz w:val="32"/>
          <w:szCs w:val="32"/>
        </w:rPr>
      </w:pPr>
      <w:r>
        <w:rPr>
          <w:rFonts w:hint="eastAsia" w:ascii="宋体" w:cs="宋体"/>
          <w:spacing w:val="1"/>
          <w:sz w:val="32"/>
          <w:szCs w:val="32"/>
        </w:rPr>
        <w:t>第二章  供应商须知</w:t>
      </w:r>
    </w:p>
    <w:p w14:paraId="53237A25">
      <w:pPr>
        <w:rPr>
          <w:rFonts w:ascii="宋体"/>
          <w:sz w:val="30"/>
          <w:szCs w:val="30"/>
        </w:rPr>
      </w:pPr>
      <w:r>
        <w:rPr>
          <w:rFonts w:hint="eastAsia" w:ascii="宋体"/>
          <w:sz w:val="30"/>
          <w:szCs w:val="30"/>
        </w:rPr>
        <w:t>一、响应文件</w:t>
      </w:r>
    </w:p>
    <w:p w14:paraId="6C347219">
      <w:pPr>
        <w:ind w:firstLine="600" w:firstLineChars="200"/>
        <w:rPr>
          <w:rFonts w:ascii="宋体"/>
          <w:sz w:val="30"/>
          <w:szCs w:val="30"/>
        </w:rPr>
      </w:pPr>
      <w:r>
        <w:rPr>
          <w:rFonts w:hint="eastAsia" w:ascii="宋体"/>
          <w:sz w:val="30"/>
          <w:szCs w:val="30"/>
        </w:rPr>
        <w:t>1、响应文件应字迹清楚、内容齐全、不得涂改。如有修改，修改处须有供应商公章和法定代表人或其授权的供应商代表签字。</w:t>
      </w:r>
    </w:p>
    <w:p w14:paraId="66A5F02B">
      <w:pPr>
        <w:ind w:firstLine="600" w:firstLineChars="200"/>
        <w:rPr>
          <w:rFonts w:ascii="宋体"/>
          <w:sz w:val="30"/>
          <w:szCs w:val="30"/>
        </w:rPr>
      </w:pPr>
      <w:r>
        <w:rPr>
          <w:rFonts w:hint="eastAsia" w:ascii="宋体"/>
          <w:sz w:val="30"/>
          <w:szCs w:val="30"/>
        </w:rPr>
        <w:t>2、响应文件应按照竞争性磋商文件规定的顺序，用A4规格幅面打印、装订成册并编制目录，由于编排混乱导致报价文件被误读或查找不到，责任由供应商承担。</w:t>
      </w:r>
    </w:p>
    <w:p w14:paraId="682EA5F0">
      <w:pPr>
        <w:ind w:firstLine="600" w:firstLineChars="200"/>
        <w:rPr>
          <w:rFonts w:ascii="宋体"/>
          <w:sz w:val="30"/>
          <w:szCs w:val="30"/>
        </w:rPr>
      </w:pPr>
      <w:r>
        <w:rPr>
          <w:rFonts w:hint="eastAsia" w:ascii="宋体"/>
          <w:sz w:val="30"/>
          <w:szCs w:val="30"/>
        </w:rPr>
        <w:t>3、响应文件应逐页编码，不得跳页。</w:t>
      </w:r>
    </w:p>
    <w:p w14:paraId="342FD4B6">
      <w:pPr>
        <w:ind w:firstLine="600" w:firstLineChars="200"/>
        <w:rPr>
          <w:rFonts w:ascii="宋体"/>
          <w:sz w:val="30"/>
          <w:szCs w:val="30"/>
        </w:rPr>
      </w:pPr>
      <w:r>
        <w:rPr>
          <w:rFonts w:hint="eastAsia" w:ascii="宋体"/>
          <w:sz w:val="30"/>
          <w:szCs w:val="30"/>
        </w:rPr>
        <w:t>4、供应商应在响应文件中写清相应的项目名称、供应商全称、地址、电话、传真等。如有必要，可以增加附页，作为响应文件的组成部分。</w:t>
      </w:r>
    </w:p>
    <w:p w14:paraId="5C26E669">
      <w:pPr>
        <w:ind w:firstLine="600" w:firstLineChars="200"/>
        <w:rPr>
          <w:rFonts w:ascii="宋体"/>
          <w:sz w:val="30"/>
          <w:szCs w:val="30"/>
        </w:rPr>
      </w:pPr>
      <w:r>
        <w:rPr>
          <w:rFonts w:hint="eastAsia" w:ascii="宋体"/>
          <w:sz w:val="30"/>
          <w:szCs w:val="30"/>
        </w:rPr>
        <w:t>5、每份响应文件须用档案袋或封套密封，并清楚标明“正本”或“副本”字样。一旦正本和副本不符，以正本为准。</w:t>
      </w:r>
    </w:p>
    <w:p w14:paraId="76E7D4D6">
      <w:pPr>
        <w:ind w:firstLine="600" w:firstLineChars="200"/>
        <w:rPr>
          <w:rFonts w:ascii="宋体"/>
          <w:sz w:val="30"/>
          <w:szCs w:val="30"/>
        </w:rPr>
      </w:pPr>
      <w:r>
        <w:rPr>
          <w:rFonts w:hint="eastAsia" w:ascii="宋体"/>
          <w:sz w:val="30"/>
          <w:szCs w:val="30"/>
        </w:rPr>
        <w:t>6、响应文件的文字材料需打印或用不褪色墨水书写。</w:t>
      </w:r>
    </w:p>
    <w:p w14:paraId="370F8F2C">
      <w:pPr>
        <w:ind w:firstLine="600" w:firstLineChars="200"/>
        <w:rPr>
          <w:rFonts w:ascii="宋体"/>
          <w:sz w:val="30"/>
          <w:szCs w:val="30"/>
        </w:rPr>
      </w:pPr>
      <w:r>
        <w:rPr>
          <w:rFonts w:hint="eastAsia" w:ascii="宋体"/>
          <w:sz w:val="30"/>
          <w:szCs w:val="30"/>
        </w:rPr>
        <w:t>7、响应文件的正本须经法定代表人或经正式授权并对供应商有约束力的委托代理人签字和加盖公章。</w:t>
      </w:r>
    </w:p>
    <w:p w14:paraId="4B547820">
      <w:pPr>
        <w:ind w:firstLine="600" w:firstLineChars="200"/>
        <w:rPr>
          <w:rFonts w:ascii="宋体"/>
          <w:sz w:val="30"/>
          <w:szCs w:val="30"/>
        </w:rPr>
      </w:pPr>
      <w:r>
        <w:rPr>
          <w:rFonts w:hint="eastAsia" w:ascii="宋体"/>
          <w:sz w:val="30"/>
          <w:szCs w:val="30"/>
        </w:rPr>
        <w:t>8、所有响应文件都将作为档案保存，不论中标与否，采购人均不退回。</w:t>
      </w:r>
    </w:p>
    <w:p w14:paraId="1E071615">
      <w:pPr>
        <w:rPr>
          <w:rFonts w:ascii="宋体"/>
          <w:sz w:val="30"/>
          <w:szCs w:val="30"/>
        </w:rPr>
      </w:pPr>
      <w:r>
        <w:rPr>
          <w:rFonts w:hint="eastAsia" w:ascii="宋体"/>
          <w:sz w:val="30"/>
          <w:szCs w:val="30"/>
        </w:rPr>
        <w:t>二、无效响应文件情形</w:t>
      </w:r>
    </w:p>
    <w:p w14:paraId="04E2E3A7">
      <w:pPr>
        <w:ind w:firstLine="600" w:firstLineChars="200"/>
        <w:rPr>
          <w:rFonts w:ascii="宋体"/>
          <w:sz w:val="30"/>
          <w:szCs w:val="30"/>
        </w:rPr>
      </w:pPr>
      <w:r>
        <w:rPr>
          <w:rFonts w:hint="eastAsia" w:ascii="宋体"/>
          <w:sz w:val="30"/>
          <w:szCs w:val="30"/>
        </w:rPr>
        <w:t>以下要求提供的证明材料缺失或无效的；</w:t>
      </w:r>
    </w:p>
    <w:p w14:paraId="7C01EDDB">
      <w:pPr>
        <w:ind w:firstLine="600" w:firstLineChars="200"/>
        <w:rPr>
          <w:rFonts w:ascii="宋体"/>
          <w:sz w:val="30"/>
          <w:szCs w:val="30"/>
        </w:rPr>
      </w:pPr>
      <w:r>
        <w:rPr>
          <w:rFonts w:hint="eastAsia" w:ascii="宋体"/>
          <w:sz w:val="30"/>
          <w:szCs w:val="30"/>
        </w:rPr>
        <w:t>1、竞争性磋商申请及声明；</w:t>
      </w:r>
    </w:p>
    <w:p w14:paraId="7FD880B8">
      <w:pPr>
        <w:ind w:firstLine="600" w:firstLineChars="200"/>
        <w:rPr>
          <w:rFonts w:ascii="宋体"/>
          <w:sz w:val="30"/>
          <w:szCs w:val="30"/>
        </w:rPr>
      </w:pPr>
      <w:r>
        <w:rPr>
          <w:rFonts w:hint="eastAsia" w:ascii="宋体"/>
          <w:sz w:val="30"/>
          <w:szCs w:val="30"/>
        </w:rPr>
        <w:t xml:space="preserve">2、法定代表人授权委托书及委托代理人的身份证复印件； </w:t>
      </w:r>
    </w:p>
    <w:p w14:paraId="1F0856E4">
      <w:pPr>
        <w:ind w:firstLine="600" w:firstLineChars="200"/>
        <w:rPr>
          <w:rFonts w:ascii="宋体"/>
          <w:sz w:val="30"/>
          <w:szCs w:val="30"/>
        </w:rPr>
      </w:pPr>
      <w:r>
        <w:rPr>
          <w:rFonts w:hint="eastAsia" w:ascii="宋体"/>
          <w:sz w:val="30"/>
          <w:szCs w:val="30"/>
        </w:rPr>
        <w:t>3、“不存在与参加本项目的其他供应商单位负责人为同一人或者存在直接控股、管理关系”的承诺函；</w:t>
      </w:r>
    </w:p>
    <w:p w14:paraId="05FEA660">
      <w:pPr>
        <w:ind w:firstLine="600" w:firstLineChars="200"/>
        <w:rPr>
          <w:rFonts w:ascii="宋体"/>
          <w:sz w:val="30"/>
          <w:szCs w:val="30"/>
        </w:rPr>
      </w:pPr>
      <w:r>
        <w:rPr>
          <w:rFonts w:ascii="宋体"/>
          <w:sz w:val="30"/>
          <w:szCs w:val="30"/>
        </w:rPr>
        <w:t>4</w:t>
      </w:r>
      <w:r>
        <w:rPr>
          <w:rFonts w:hint="eastAsia" w:ascii="宋体"/>
          <w:sz w:val="30"/>
          <w:szCs w:val="30"/>
        </w:rPr>
        <w:t>、《南京市政府采购供应商信用记录表暨信用承诺书》（供应商参加本项目政府采购活动时，无论是新用户注册或已注册成功的，均应在磋商公告发布之日起至响应文件提交截止时间前，登录“信用南京”或“南京公共采购信息网”在线打印其《南京市政府采购供应商信用记录表暨信用承诺书》，经法定代表人签名盖章后作为响应文件的有效组成部分。《南京市政府采购供应商信用记录表暨信用承诺书》是其参加本次政府采购活动的必备材料。）；</w:t>
      </w:r>
    </w:p>
    <w:p w14:paraId="76DA4439">
      <w:pPr>
        <w:ind w:firstLine="600" w:firstLineChars="200"/>
        <w:rPr>
          <w:rFonts w:ascii="宋体"/>
          <w:sz w:val="30"/>
          <w:szCs w:val="30"/>
        </w:rPr>
      </w:pPr>
      <w:r>
        <w:rPr>
          <w:rFonts w:ascii="宋体"/>
          <w:sz w:val="30"/>
          <w:szCs w:val="30"/>
        </w:rPr>
        <w:t>5</w:t>
      </w:r>
      <w:r>
        <w:rPr>
          <w:rFonts w:hint="eastAsia" w:ascii="宋体"/>
          <w:sz w:val="30"/>
          <w:szCs w:val="30"/>
        </w:rPr>
        <w:t>、第一章竞争性磋商公告中供应商应当具备《中华人民共和国政府采购法》规定的条件并提供相应证明材料。</w:t>
      </w:r>
    </w:p>
    <w:p w14:paraId="27A0D9FD">
      <w:pPr>
        <w:ind w:firstLine="600" w:firstLineChars="200"/>
        <w:rPr>
          <w:rFonts w:ascii="宋体"/>
          <w:sz w:val="30"/>
          <w:szCs w:val="30"/>
        </w:rPr>
      </w:pPr>
      <w:r>
        <w:rPr>
          <w:rFonts w:ascii="宋体"/>
          <w:sz w:val="30"/>
          <w:szCs w:val="30"/>
        </w:rPr>
        <w:t>6</w:t>
      </w:r>
      <w:r>
        <w:rPr>
          <w:rFonts w:hint="eastAsia" w:ascii="宋体"/>
          <w:sz w:val="30"/>
          <w:szCs w:val="30"/>
        </w:rPr>
        <w:t>、供应商响应文件中未响应磋商文件第四章采购项目需求中规定的实质性要求的；</w:t>
      </w:r>
    </w:p>
    <w:p w14:paraId="6C410649">
      <w:pPr>
        <w:ind w:firstLine="600" w:firstLineChars="200"/>
        <w:rPr>
          <w:rFonts w:ascii="宋体"/>
          <w:sz w:val="30"/>
          <w:szCs w:val="30"/>
        </w:rPr>
      </w:pPr>
      <w:r>
        <w:rPr>
          <w:rFonts w:ascii="宋体"/>
          <w:sz w:val="30"/>
          <w:szCs w:val="30"/>
        </w:rPr>
        <w:t>7</w:t>
      </w:r>
      <w:r>
        <w:rPr>
          <w:rFonts w:hint="eastAsia" w:ascii="宋体"/>
          <w:sz w:val="30"/>
          <w:szCs w:val="30"/>
        </w:rPr>
        <w:t>、供应商提交的最后报价超过磋商文件中规定的项目预算或最高限价的；</w:t>
      </w:r>
    </w:p>
    <w:p w14:paraId="1A62696B">
      <w:pPr>
        <w:ind w:firstLine="600" w:firstLineChars="200"/>
        <w:rPr>
          <w:rFonts w:ascii="宋体"/>
          <w:sz w:val="30"/>
          <w:szCs w:val="30"/>
        </w:rPr>
      </w:pPr>
      <w:r>
        <w:rPr>
          <w:rFonts w:ascii="宋体"/>
          <w:sz w:val="30"/>
          <w:szCs w:val="30"/>
        </w:rPr>
        <w:t>8</w:t>
      </w:r>
      <w:r>
        <w:rPr>
          <w:rFonts w:hint="eastAsia" w:ascii="宋体"/>
          <w:sz w:val="30"/>
          <w:szCs w:val="30"/>
        </w:rPr>
        <w:t>、磋商小组认为供应商提交的最后报价明显低于其他实质性响应磋商文件的供应商报价，有可能影响服务质量或者不能诚信履约的，将要求其在评审现场合理的时间内提供书面说明及相关证明材料；供应商不能证明其报价合理性的，磋商小组将对该供应商作无效投标处理；</w:t>
      </w:r>
    </w:p>
    <w:p w14:paraId="09C546DD">
      <w:pPr>
        <w:ind w:firstLine="600" w:firstLineChars="200"/>
        <w:rPr>
          <w:rFonts w:ascii="宋体"/>
          <w:sz w:val="30"/>
          <w:szCs w:val="30"/>
        </w:rPr>
      </w:pPr>
      <w:r>
        <w:rPr>
          <w:rFonts w:ascii="宋体"/>
          <w:sz w:val="30"/>
          <w:szCs w:val="30"/>
        </w:rPr>
        <w:t>9</w:t>
      </w:r>
      <w:r>
        <w:rPr>
          <w:rFonts w:hint="eastAsia" w:ascii="宋体"/>
          <w:sz w:val="30"/>
          <w:szCs w:val="30"/>
        </w:rPr>
        <w:t>、不符合法律、法规和磋商文件规定的其他实质性要求的。</w:t>
      </w:r>
    </w:p>
    <w:p w14:paraId="799864A1">
      <w:pPr>
        <w:rPr>
          <w:rFonts w:ascii="宋体"/>
          <w:sz w:val="30"/>
          <w:szCs w:val="30"/>
        </w:rPr>
      </w:pPr>
    </w:p>
    <w:p w14:paraId="681143FE">
      <w:pPr>
        <w:rPr>
          <w:rFonts w:ascii="宋体"/>
          <w:sz w:val="30"/>
          <w:szCs w:val="30"/>
        </w:rPr>
      </w:pPr>
      <w:r>
        <w:rPr>
          <w:rFonts w:hint="eastAsia" w:ascii="宋体"/>
          <w:sz w:val="30"/>
          <w:szCs w:val="30"/>
        </w:rPr>
        <w:t>三、磋商程序</w:t>
      </w:r>
    </w:p>
    <w:p w14:paraId="4167BB69">
      <w:pPr>
        <w:ind w:firstLine="600" w:firstLineChars="200"/>
        <w:rPr>
          <w:rFonts w:ascii="宋体"/>
          <w:sz w:val="30"/>
          <w:szCs w:val="30"/>
        </w:rPr>
      </w:pPr>
      <w:r>
        <w:rPr>
          <w:rFonts w:hint="eastAsia" w:ascii="宋体"/>
          <w:sz w:val="30"/>
          <w:szCs w:val="30"/>
        </w:rPr>
        <w:t>1、磋商小组审阅供应商所提交的响应文件，凡不具备资格条件的供应商不得进入磋商程序。</w:t>
      </w:r>
    </w:p>
    <w:p w14:paraId="2B63A1C1">
      <w:pPr>
        <w:ind w:firstLine="600" w:firstLineChars="200"/>
        <w:rPr>
          <w:rFonts w:ascii="宋体"/>
          <w:sz w:val="30"/>
          <w:szCs w:val="30"/>
        </w:rPr>
      </w:pPr>
      <w:r>
        <w:rPr>
          <w:rFonts w:hint="eastAsia" w:ascii="宋体"/>
          <w:sz w:val="30"/>
          <w:szCs w:val="30"/>
        </w:rPr>
        <w:t>2、磋商小组所有成员集中与单一供应商分别就磋商采购项目的技术、商务和价格进行磋商。</w:t>
      </w:r>
    </w:p>
    <w:p w14:paraId="073E1A58">
      <w:pPr>
        <w:ind w:firstLine="600" w:firstLineChars="200"/>
        <w:rPr>
          <w:rFonts w:ascii="宋体"/>
          <w:sz w:val="30"/>
          <w:szCs w:val="30"/>
        </w:rPr>
      </w:pPr>
      <w:r>
        <w:rPr>
          <w:rFonts w:hint="eastAsia" w:ascii="宋体"/>
          <w:sz w:val="30"/>
          <w:szCs w:val="30"/>
        </w:rPr>
        <w:t>3、磋商结束后，磋商小组将要求所有实质性响应的供应商在规定时间内提交最后报价（二次或多次报价）。</w:t>
      </w:r>
    </w:p>
    <w:p w14:paraId="68E20E18">
      <w:pPr>
        <w:ind w:firstLine="600" w:firstLineChars="200"/>
        <w:rPr>
          <w:rFonts w:ascii="宋体"/>
          <w:sz w:val="30"/>
          <w:szCs w:val="30"/>
        </w:rPr>
      </w:pPr>
      <w:r>
        <w:rPr>
          <w:rFonts w:hint="eastAsia" w:ascii="宋体"/>
          <w:sz w:val="30"/>
          <w:szCs w:val="30"/>
        </w:rPr>
        <w:t>4、最后报价由供应商法定代表人或授权代表签字或者加盖公章，最后报价是供应商响应文件的有效组成部分。</w:t>
      </w:r>
    </w:p>
    <w:p w14:paraId="0D5A498F">
      <w:pPr>
        <w:rPr>
          <w:rFonts w:ascii="宋体"/>
          <w:sz w:val="30"/>
          <w:szCs w:val="30"/>
        </w:rPr>
      </w:pPr>
      <w:r>
        <w:rPr>
          <w:rFonts w:hint="eastAsia" w:ascii="宋体"/>
          <w:sz w:val="30"/>
          <w:szCs w:val="30"/>
        </w:rPr>
        <w:t>四、响应文件价格部分</w:t>
      </w:r>
    </w:p>
    <w:p w14:paraId="35FE4792">
      <w:pPr>
        <w:ind w:firstLine="600" w:firstLineChars="200"/>
        <w:rPr>
          <w:rFonts w:ascii="宋体"/>
          <w:sz w:val="30"/>
          <w:szCs w:val="30"/>
        </w:rPr>
      </w:pPr>
      <w:r>
        <w:rPr>
          <w:rFonts w:hint="eastAsia" w:ascii="宋体"/>
          <w:sz w:val="30"/>
          <w:szCs w:val="30"/>
        </w:rPr>
        <w:t>1、供应商应用人民币报价。报价的大写金额与小写金额不一致的，以大写金额为准。</w:t>
      </w:r>
    </w:p>
    <w:p w14:paraId="2974CCE5">
      <w:pPr>
        <w:ind w:firstLine="600" w:firstLineChars="200"/>
        <w:rPr>
          <w:rFonts w:ascii="宋体"/>
          <w:sz w:val="30"/>
          <w:szCs w:val="30"/>
        </w:rPr>
      </w:pPr>
      <w:r>
        <w:rPr>
          <w:rFonts w:hint="eastAsia" w:ascii="宋体"/>
          <w:sz w:val="30"/>
          <w:szCs w:val="30"/>
        </w:rPr>
        <w:t>2、报价应包含完成本服务项目发生的所有含税费用、项目验收专家评审费、支付给员工的工资和国家强制缴纳的各种社会保障资金，以及供应商认为需要的其他费用等。</w:t>
      </w:r>
    </w:p>
    <w:p w14:paraId="5D8A0CBD">
      <w:pPr>
        <w:ind w:firstLine="600" w:firstLineChars="200"/>
        <w:rPr>
          <w:rFonts w:ascii="宋体"/>
          <w:sz w:val="30"/>
          <w:szCs w:val="30"/>
        </w:rPr>
      </w:pPr>
      <w:r>
        <w:rPr>
          <w:rFonts w:hint="eastAsia" w:ascii="宋体"/>
          <w:sz w:val="30"/>
          <w:szCs w:val="30"/>
        </w:rPr>
        <w:t>3、供应商的任何错漏、优惠、竞争性报价不得作为减轻责任、减少服务、增加收费、降低质量的理由。</w:t>
      </w:r>
    </w:p>
    <w:p w14:paraId="6F7696B1">
      <w:pPr>
        <w:autoSpaceDE w:val="0"/>
        <w:autoSpaceDN w:val="0"/>
        <w:spacing w:before="312" w:beforeLines="100" w:after="312" w:afterLines="100" w:line="319" w:lineRule="exact"/>
        <w:jc w:val="center"/>
        <w:rPr>
          <w:rFonts w:ascii="宋体"/>
          <w:sz w:val="30"/>
          <w:szCs w:val="30"/>
        </w:rPr>
      </w:pPr>
    </w:p>
    <w:p w14:paraId="1D0DC36B">
      <w:pPr>
        <w:autoSpaceDE w:val="0"/>
        <w:autoSpaceDN w:val="0"/>
        <w:spacing w:before="312" w:beforeLines="100" w:after="312" w:afterLines="100" w:line="319" w:lineRule="exact"/>
        <w:jc w:val="center"/>
        <w:rPr>
          <w:rFonts w:ascii="宋体"/>
          <w:sz w:val="36"/>
          <w:szCs w:val="36"/>
        </w:rPr>
      </w:pPr>
    </w:p>
    <w:p w14:paraId="196540BE">
      <w:pPr>
        <w:autoSpaceDE w:val="0"/>
        <w:autoSpaceDN w:val="0"/>
        <w:spacing w:before="312" w:beforeLines="100" w:after="312" w:afterLines="100" w:line="319" w:lineRule="exact"/>
        <w:jc w:val="center"/>
        <w:rPr>
          <w:rFonts w:ascii="宋体"/>
          <w:sz w:val="36"/>
          <w:szCs w:val="36"/>
        </w:rPr>
      </w:pPr>
    </w:p>
    <w:p w14:paraId="3A5151EA">
      <w:pPr>
        <w:jc w:val="center"/>
        <w:rPr>
          <w:rFonts w:ascii="宋体"/>
          <w:sz w:val="32"/>
          <w:szCs w:val="32"/>
        </w:rPr>
      </w:pPr>
      <w:r>
        <w:rPr>
          <w:rFonts w:hint="eastAsia" w:ascii="宋体" w:cs="宋体"/>
          <w:spacing w:val="1"/>
          <w:sz w:val="32"/>
          <w:szCs w:val="32"/>
        </w:rPr>
        <w:t>第三章  评标标准</w:t>
      </w:r>
    </w:p>
    <w:p w14:paraId="7AD58D73">
      <w:pPr>
        <w:autoSpaceDE w:val="0"/>
        <w:autoSpaceDN w:val="0"/>
        <w:spacing w:before="312" w:beforeLines="100" w:after="312" w:afterLines="100" w:line="319" w:lineRule="exact"/>
        <w:jc w:val="center"/>
        <w:rPr>
          <w:rFonts w:ascii="宋体"/>
          <w:sz w:val="36"/>
          <w:szCs w:val="36"/>
        </w:rPr>
      </w:pPr>
    </w:p>
    <w:p w14:paraId="3B2061D7">
      <w:pPr>
        <w:autoSpaceDE w:val="0"/>
        <w:autoSpaceDN w:val="0"/>
        <w:ind w:firstLine="600" w:firstLineChars="200"/>
        <w:jc w:val="left"/>
        <w:rPr>
          <w:rFonts w:ascii="宋体"/>
          <w:sz w:val="30"/>
          <w:szCs w:val="30"/>
        </w:rPr>
      </w:pPr>
      <w:r>
        <w:rPr>
          <w:rFonts w:hint="eastAsia" w:ascii="宋体"/>
          <w:sz w:val="30"/>
          <w:szCs w:val="30"/>
        </w:rPr>
        <w:t>本项目采用综合评分法，评标结果按评审后得分由高到低顺序排列。得分相同的，按投标报价由</w:t>
      </w:r>
      <w:r>
        <w:rPr>
          <w:rFonts w:hint="eastAsia" w:ascii="宋体"/>
          <w:sz w:val="30"/>
          <w:szCs w:val="30"/>
          <w:lang w:eastAsia="zh-CN"/>
        </w:rPr>
        <w:t>低</w:t>
      </w:r>
      <w:r>
        <w:rPr>
          <w:rFonts w:hint="eastAsia" w:ascii="宋体"/>
          <w:sz w:val="30"/>
          <w:szCs w:val="30"/>
        </w:rPr>
        <w:t>到</w:t>
      </w:r>
      <w:r>
        <w:rPr>
          <w:rFonts w:hint="eastAsia" w:ascii="宋体"/>
          <w:sz w:val="30"/>
          <w:szCs w:val="30"/>
          <w:lang w:eastAsia="zh-CN"/>
        </w:rPr>
        <w:t>高</w:t>
      </w:r>
      <w:r>
        <w:rPr>
          <w:rFonts w:hint="eastAsia" w:ascii="宋体"/>
          <w:sz w:val="30"/>
          <w:szCs w:val="30"/>
        </w:rPr>
        <w:t>顺序排列。得分且报价相同的，按技术指标优劣顺序排列。投标文件满足招标文件全部实质性要求，且按照实施方案的量化指标评审得分最高的供应商为排名第一的成交候选人，磋商小组直接确定综合排名第一的成交候选供应商为成交供应商。</w:t>
      </w:r>
    </w:p>
    <w:p w14:paraId="5508AEEA">
      <w:pPr>
        <w:widowControl/>
        <w:jc w:val="center"/>
      </w:pPr>
      <w:r>
        <w:rPr>
          <w:rFonts w:ascii="宋体"/>
          <w:sz w:val="32"/>
          <w:szCs w:val="32"/>
        </w:rPr>
        <w:br w:type="page"/>
      </w:r>
      <w:r>
        <w:rPr>
          <w:rFonts w:hint="eastAsia" w:ascii="宋体"/>
          <w:sz w:val="32"/>
          <w:szCs w:val="32"/>
        </w:rPr>
        <w:t>竞争性磋商综合评分指标表</w:t>
      </w:r>
    </w:p>
    <w:p w14:paraId="032097D7">
      <w:pPr>
        <w:widowControl/>
        <w:jc w:val="left"/>
        <w:rPr>
          <w:rFonts w:hint="eastAsia"/>
          <w:lang w:eastAsia="zh-CN"/>
        </w:rPr>
      </w:pPr>
    </w:p>
    <w:p w14:paraId="069FE8F3">
      <w:pPr>
        <w:widowControl/>
        <w:jc w:val="left"/>
        <w:rPr>
          <w:rFonts w:hint="eastAsia"/>
          <w:lang w:eastAsia="zh-CN"/>
        </w:rPr>
      </w:pPr>
      <w:r>
        <w:rPr>
          <w:rFonts w:hint="eastAsia"/>
          <w:lang w:eastAsia="zh-CN"/>
        </w:rPr>
        <w:t>评分标准：</w:t>
      </w:r>
    </w:p>
    <w:p w14:paraId="566C709C">
      <w:pPr>
        <w:widowControl/>
        <w:jc w:val="left"/>
        <w:rPr>
          <w:rFonts w:hint="eastAsia"/>
          <w:lang w:eastAsia="zh-CN"/>
        </w:rPr>
      </w:pPr>
    </w:p>
    <w:tbl>
      <w:tblPr>
        <w:tblStyle w:val="17"/>
        <w:tblW w:w="4927"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215"/>
        <w:gridCol w:w="825"/>
        <w:gridCol w:w="3255"/>
        <w:gridCol w:w="1020"/>
        <w:gridCol w:w="1410"/>
      </w:tblGrid>
      <w:tr w14:paraId="468FF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674" w:type="dxa"/>
            <w:noWrap w:val="0"/>
            <w:tcMar>
              <w:top w:w="0" w:type="dxa"/>
              <w:left w:w="108" w:type="dxa"/>
              <w:bottom w:w="0" w:type="dxa"/>
              <w:right w:w="108" w:type="dxa"/>
            </w:tcMar>
            <w:vAlign w:val="center"/>
          </w:tcPr>
          <w:p w14:paraId="2C8B56ED">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序号</w:t>
            </w:r>
          </w:p>
        </w:tc>
        <w:tc>
          <w:tcPr>
            <w:tcW w:w="1215" w:type="dxa"/>
            <w:noWrap w:val="0"/>
            <w:tcMar>
              <w:top w:w="0" w:type="dxa"/>
              <w:left w:w="108" w:type="dxa"/>
              <w:bottom w:w="0" w:type="dxa"/>
              <w:right w:w="108" w:type="dxa"/>
            </w:tcMar>
            <w:vAlign w:val="center"/>
          </w:tcPr>
          <w:p w14:paraId="65E1C755">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评分因素</w:t>
            </w:r>
          </w:p>
        </w:tc>
        <w:tc>
          <w:tcPr>
            <w:tcW w:w="825" w:type="dxa"/>
            <w:noWrap w:val="0"/>
            <w:tcMar>
              <w:top w:w="0" w:type="dxa"/>
              <w:left w:w="108" w:type="dxa"/>
              <w:bottom w:w="0" w:type="dxa"/>
              <w:right w:w="108" w:type="dxa"/>
            </w:tcMar>
            <w:vAlign w:val="center"/>
          </w:tcPr>
          <w:p w14:paraId="4EC70857">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分值</w:t>
            </w:r>
          </w:p>
        </w:tc>
        <w:tc>
          <w:tcPr>
            <w:tcW w:w="3255" w:type="dxa"/>
            <w:noWrap w:val="0"/>
            <w:tcMar>
              <w:top w:w="0" w:type="dxa"/>
              <w:left w:w="108" w:type="dxa"/>
              <w:bottom w:w="0" w:type="dxa"/>
              <w:right w:w="108" w:type="dxa"/>
            </w:tcMar>
            <w:vAlign w:val="center"/>
          </w:tcPr>
          <w:p w14:paraId="599235B9">
            <w:pPr>
              <w:pBdr>
                <w:top w:val="none" w:color="000000" w:sz="0" w:space="0"/>
                <w:left w:val="none" w:color="000000" w:sz="0" w:space="0"/>
                <w:bottom w:val="none" w:color="000000" w:sz="0" w:space="0"/>
                <w:right w:val="none" w:color="000000" w:sz="0" w:space="0"/>
              </w:pBdr>
              <w:ind w:firstLine="28"/>
              <w:jc w:val="center"/>
              <w:rPr>
                <w:rFonts w:hint="eastAsia" w:ascii="仿宋" w:hAnsi="仿宋" w:eastAsia="仿宋" w:cs="仿宋"/>
                <w:color w:val="000000"/>
              </w:rPr>
            </w:pPr>
            <w:r>
              <w:rPr>
                <w:rFonts w:hint="eastAsia" w:ascii="仿宋" w:hAnsi="仿宋" w:eastAsia="仿宋" w:cs="仿宋"/>
                <w:b/>
                <w:color w:val="000000"/>
              </w:rPr>
              <w:t>评分标准</w:t>
            </w:r>
          </w:p>
        </w:tc>
        <w:tc>
          <w:tcPr>
            <w:tcW w:w="1020" w:type="dxa"/>
            <w:noWrap w:val="0"/>
            <w:tcMar>
              <w:top w:w="0" w:type="dxa"/>
              <w:left w:w="108" w:type="dxa"/>
              <w:bottom w:w="0" w:type="dxa"/>
              <w:right w:w="108" w:type="dxa"/>
            </w:tcMar>
            <w:vAlign w:val="center"/>
          </w:tcPr>
          <w:p w14:paraId="48CA719E">
            <w:pPr>
              <w:spacing w:line="240" w:lineRule="exact"/>
              <w:jc w:val="center"/>
              <w:rPr>
                <w:rFonts w:hint="eastAsia" w:ascii="仿宋" w:hAnsi="仿宋" w:eastAsia="仿宋" w:cs="仿宋"/>
                <w:b/>
                <w:color w:val="000000"/>
              </w:rPr>
            </w:pPr>
            <w:r>
              <w:rPr>
                <w:rStyle w:val="24"/>
                <w:rFonts w:hint="eastAsia" w:ascii="仿宋" w:hAnsi="仿宋" w:eastAsia="仿宋" w:cs="仿宋"/>
                <w:color w:val="000000"/>
                <w:sz w:val="21"/>
                <w:szCs w:val="21"/>
              </w:rPr>
              <w:t>分值</w:t>
            </w:r>
          </w:p>
        </w:tc>
        <w:tc>
          <w:tcPr>
            <w:tcW w:w="1410" w:type="dxa"/>
            <w:noWrap w:val="0"/>
            <w:tcMar>
              <w:top w:w="0" w:type="dxa"/>
              <w:left w:w="108" w:type="dxa"/>
              <w:bottom w:w="0" w:type="dxa"/>
              <w:right w:w="108" w:type="dxa"/>
            </w:tcMar>
            <w:vAlign w:val="center"/>
          </w:tcPr>
          <w:p w14:paraId="079C4A28">
            <w:pPr>
              <w:spacing w:line="240" w:lineRule="exact"/>
              <w:jc w:val="center"/>
              <w:rPr>
                <w:rFonts w:hint="eastAsia" w:ascii="仿宋" w:hAnsi="仿宋" w:eastAsia="仿宋" w:cs="仿宋"/>
                <w:b/>
                <w:color w:val="000000"/>
              </w:rPr>
            </w:pPr>
            <w:r>
              <w:rPr>
                <w:rStyle w:val="24"/>
                <w:rFonts w:hint="eastAsia" w:ascii="仿宋" w:hAnsi="仿宋" w:eastAsia="仿宋" w:cs="仿宋"/>
                <w:color w:val="000000"/>
                <w:sz w:val="21"/>
                <w:szCs w:val="21"/>
              </w:rPr>
              <w:t>是否客观分</w:t>
            </w:r>
          </w:p>
        </w:tc>
      </w:tr>
      <w:tr w14:paraId="5B1E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674" w:type="dxa"/>
            <w:noWrap w:val="0"/>
            <w:tcMar>
              <w:top w:w="0" w:type="dxa"/>
              <w:left w:w="108" w:type="dxa"/>
              <w:bottom w:w="0" w:type="dxa"/>
              <w:right w:w="108" w:type="dxa"/>
            </w:tcMar>
            <w:vAlign w:val="center"/>
          </w:tcPr>
          <w:p w14:paraId="4F9DEDB7">
            <w:pPr>
              <w:spacing w:line="240" w:lineRule="exact"/>
              <w:jc w:val="center"/>
              <w:rPr>
                <w:rFonts w:hint="default" w:ascii="仿宋" w:hAnsi="仿宋" w:eastAsia="仿宋" w:cs="仿宋"/>
                <w:color w:val="000000"/>
                <w:lang w:val="en-US"/>
              </w:rPr>
            </w:pPr>
            <w:r>
              <w:rPr>
                <w:rFonts w:hint="default" w:ascii="仿宋" w:hAnsi="仿宋" w:eastAsia="仿宋" w:cs="仿宋"/>
                <w:color w:val="000000"/>
                <w:lang w:val="en-US"/>
              </w:rPr>
              <w:t>1</w:t>
            </w:r>
          </w:p>
        </w:tc>
        <w:tc>
          <w:tcPr>
            <w:tcW w:w="1215" w:type="dxa"/>
            <w:noWrap w:val="0"/>
            <w:tcMar>
              <w:top w:w="0" w:type="dxa"/>
              <w:left w:w="108" w:type="dxa"/>
              <w:bottom w:w="0" w:type="dxa"/>
              <w:right w:w="108" w:type="dxa"/>
            </w:tcMar>
            <w:vAlign w:val="center"/>
          </w:tcPr>
          <w:p w14:paraId="75B5EB82">
            <w:pPr>
              <w:spacing w:line="240" w:lineRule="exact"/>
              <w:jc w:val="center"/>
              <w:rPr>
                <w:rFonts w:hint="eastAsia" w:ascii="仿宋" w:hAnsi="仿宋" w:eastAsia="仿宋" w:cs="仿宋"/>
                <w:color w:val="000000"/>
              </w:rPr>
            </w:pPr>
            <w:r>
              <w:rPr>
                <w:rFonts w:hint="eastAsia" w:ascii="仿宋" w:hAnsi="仿宋" w:eastAsia="仿宋" w:cs="仿宋"/>
                <w:color w:val="000000"/>
              </w:rPr>
              <w:t>价格分</w:t>
            </w:r>
          </w:p>
        </w:tc>
        <w:tc>
          <w:tcPr>
            <w:tcW w:w="825" w:type="dxa"/>
            <w:noWrap w:val="0"/>
            <w:tcMar>
              <w:top w:w="0" w:type="dxa"/>
              <w:left w:w="108" w:type="dxa"/>
              <w:bottom w:w="0" w:type="dxa"/>
              <w:right w:w="108" w:type="dxa"/>
            </w:tcMar>
            <w:vAlign w:val="center"/>
          </w:tcPr>
          <w:p w14:paraId="55CE4D73">
            <w:pPr>
              <w:spacing w:line="240" w:lineRule="exact"/>
              <w:ind w:firstLine="420"/>
              <w:jc w:val="center"/>
              <w:rPr>
                <w:rFonts w:hint="eastAsia" w:ascii="仿宋" w:hAnsi="仿宋" w:eastAsia="仿宋" w:cs="仿宋"/>
                <w:color w:val="000000"/>
              </w:rPr>
            </w:pPr>
          </w:p>
        </w:tc>
        <w:tc>
          <w:tcPr>
            <w:tcW w:w="3255" w:type="dxa"/>
            <w:noWrap w:val="0"/>
            <w:tcMar>
              <w:top w:w="0" w:type="dxa"/>
              <w:left w:w="108" w:type="dxa"/>
              <w:bottom w:w="0" w:type="dxa"/>
              <w:right w:w="108" w:type="dxa"/>
            </w:tcMar>
            <w:vAlign w:val="center"/>
          </w:tcPr>
          <w:p w14:paraId="3EBE82C8">
            <w:pPr>
              <w:spacing w:line="240" w:lineRule="exact"/>
              <w:jc w:val="center"/>
              <w:rPr>
                <w:rFonts w:hint="eastAsia" w:ascii="仿宋" w:hAnsi="仿宋" w:eastAsia="仿宋" w:cs="仿宋"/>
                <w:color w:val="000000"/>
              </w:rPr>
            </w:pPr>
          </w:p>
        </w:tc>
        <w:tc>
          <w:tcPr>
            <w:tcW w:w="1020" w:type="dxa"/>
            <w:noWrap w:val="0"/>
            <w:tcMar>
              <w:top w:w="0" w:type="dxa"/>
              <w:left w:w="108" w:type="dxa"/>
              <w:bottom w:w="0" w:type="dxa"/>
              <w:right w:w="108" w:type="dxa"/>
            </w:tcMar>
            <w:vAlign w:val="center"/>
          </w:tcPr>
          <w:p w14:paraId="60E85E7C">
            <w:pPr>
              <w:pBdr>
                <w:top w:val="none" w:color="000000" w:sz="0" w:space="0"/>
                <w:left w:val="none" w:color="000000" w:sz="0" w:space="0"/>
                <w:bottom w:val="none" w:color="000000" w:sz="0" w:space="0"/>
                <w:right w:val="none" w:color="000000" w:sz="0" w:space="0"/>
              </w:pBdr>
              <w:ind w:left="-38"/>
              <w:jc w:val="center"/>
              <w:rPr>
                <w:rFonts w:ascii="仿宋" w:hAnsi="仿宋" w:eastAsia="仿宋" w:cs="仿宋"/>
                <w:color w:val="000000"/>
              </w:rPr>
            </w:pPr>
            <w:r>
              <w:rPr>
                <w:rFonts w:hint="eastAsia" w:ascii="仿宋" w:hAnsi="仿宋" w:eastAsia="仿宋" w:cs="仿宋"/>
                <w:color w:val="000000"/>
              </w:rPr>
              <w:t>20</w:t>
            </w:r>
          </w:p>
        </w:tc>
        <w:tc>
          <w:tcPr>
            <w:tcW w:w="1410" w:type="dxa"/>
            <w:noWrap w:val="0"/>
            <w:tcMar>
              <w:top w:w="0" w:type="dxa"/>
              <w:left w:w="108" w:type="dxa"/>
              <w:bottom w:w="0" w:type="dxa"/>
              <w:right w:w="108" w:type="dxa"/>
            </w:tcMar>
            <w:vAlign w:val="center"/>
          </w:tcPr>
          <w:p w14:paraId="5AAB097D">
            <w:pPr>
              <w:pBdr>
                <w:top w:val="none" w:color="000000" w:sz="0" w:space="0"/>
                <w:left w:val="none" w:color="000000" w:sz="0" w:space="0"/>
                <w:bottom w:val="none" w:color="000000" w:sz="0" w:space="0"/>
                <w:right w:val="none" w:color="000000" w:sz="0" w:space="0"/>
              </w:pBdr>
              <w:ind w:left="-38"/>
              <w:rPr>
                <w:rFonts w:hint="eastAsia" w:ascii="仿宋" w:hAnsi="仿宋" w:eastAsia="仿宋" w:cs="仿宋"/>
                <w:color w:val="000000"/>
              </w:rPr>
            </w:pPr>
          </w:p>
        </w:tc>
      </w:tr>
      <w:tr w14:paraId="1CB3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4" w:type="dxa"/>
            <w:noWrap w:val="0"/>
            <w:tcMar>
              <w:top w:w="0" w:type="dxa"/>
              <w:left w:w="108" w:type="dxa"/>
              <w:bottom w:w="0" w:type="dxa"/>
              <w:right w:w="108" w:type="dxa"/>
            </w:tcMar>
            <w:vAlign w:val="center"/>
          </w:tcPr>
          <w:p w14:paraId="7BF9197E">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1</w:t>
            </w:r>
          </w:p>
        </w:tc>
        <w:tc>
          <w:tcPr>
            <w:tcW w:w="1215" w:type="dxa"/>
            <w:noWrap w:val="0"/>
            <w:tcMar>
              <w:top w:w="0" w:type="dxa"/>
              <w:left w:w="108" w:type="dxa"/>
              <w:bottom w:w="0" w:type="dxa"/>
              <w:right w:w="108" w:type="dxa"/>
            </w:tcMar>
            <w:vAlign w:val="center"/>
          </w:tcPr>
          <w:p w14:paraId="13FB786E">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价格分</w:t>
            </w:r>
          </w:p>
        </w:tc>
        <w:tc>
          <w:tcPr>
            <w:tcW w:w="825" w:type="dxa"/>
            <w:noWrap w:val="0"/>
            <w:tcMar>
              <w:top w:w="0" w:type="dxa"/>
              <w:left w:w="108" w:type="dxa"/>
              <w:bottom w:w="0" w:type="dxa"/>
              <w:right w:w="108" w:type="dxa"/>
            </w:tcMar>
            <w:vAlign w:val="center"/>
          </w:tcPr>
          <w:p w14:paraId="16D5FE47">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rPr>
            </w:pPr>
            <w:r>
              <w:rPr>
                <w:rFonts w:hint="default" w:ascii="仿宋" w:hAnsi="仿宋" w:eastAsia="仿宋" w:cs="仿宋"/>
                <w:color w:val="000000"/>
                <w:lang w:val="en-US"/>
              </w:rPr>
              <w:t>20</w:t>
            </w:r>
          </w:p>
        </w:tc>
        <w:tc>
          <w:tcPr>
            <w:tcW w:w="3255" w:type="dxa"/>
            <w:noWrap w:val="0"/>
            <w:tcMar>
              <w:top w:w="0" w:type="dxa"/>
              <w:left w:w="108" w:type="dxa"/>
              <w:bottom w:w="0" w:type="dxa"/>
              <w:right w:w="108" w:type="dxa"/>
            </w:tcMar>
            <w:vAlign w:val="center"/>
          </w:tcPr>
          <w:p w14:paraId="56B5B7C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满足磋商文件要求且最终报价最低的报价为评标基准价，其价格分为满分。其他供应商的价格分统一按照下列公式计算：</w:t>
            </w:r>
          </w:p>
          <w:p w14:paraId="4D191C9C">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价格分得分＝（评标基准价/最终报价）×分值。</w:t>
            </w:r>
          </w:p>
        </w:tc>
        <w:tc>
          <w:tcPr>
            <w:tcW w:w="1020" w:type="dxa"/>
            <w:noWrap w:val="0"/>
            <w:tcMar>
              <w:top w:w="0" w:type="dxa"/>
              <w:left w:w="108" w:type="dxa"/>
              <w:bottom w:w="0" w:type="dxa"/>
              <w:right w:w="108" w:type="dxa"/>
            </w:tcMar>
            <w:vAlign w:val="center"/>
          </w:tcPr>
          <w:p w14:paraId="16E472F4">
            <w:pPr>
              <w:spacing w:line="240" w:lineRule="exact"/>
              <w:jc w:val="center"/>
              <w:rPr>
                <w:rFonts w:ascii="仿宋" w:hAnsi="仿宋" w:eastAsia="仿宋" w:cs="仿宋"/>
                <w:color w:val="000000"/>
              </w:rPr>
            </w:pPr>
            <w:r>
              <w:rPr>
                <w:rFonts w:hint="eastAsia" w:ascii="仿宋" w:hAnsi="仿宋" w:eastAsia="仿宋" w:cs="仿宋"/>
                <w:color w:val="000000"/>
              </w:rPr>
              <w:t>20</w:t>
            </w:r>
          </w:p>
        </w:tc>
        <w:tc>
          <w:tcPr>
            <w:tcW w:w="1410" w:type="dxa"/>
            <w:noWrap w:val="0"/>
            <w:tcMar>
              <w:top w:w="0" w:type="dxa"/>
              <w:left w:w="108" w:type="dxa"/>
              <w:bottom w:w="0" w:type="dxa"/>
              <w:right w:w="108" w:type="dxa"/>
            </w:tcMar>
            <w:vAlign w:val="center"/>
          </w:tcPr>
          <w:p w14:paraId="10D49335">
            <w:pPr>
              <w:spacing w:line="240" w:lineRule="exact"/>
              <w:jc w:val="center"/>
              <w:rPr>
                <w:rFonts w:hint="eastAsia" w:ascii="仿宋" w:hAnsi="仿宋" w:eastAsia="仿宋" w:cs="仿宋"/>
                <w:color w:val="000000"/>
              </w:rPr>
            </w:pPr>
            <w:r>
              <w:rPr>
                <w:rStyle w:val="24"/>
                <w:rFonts w:hint="eastAsia" w:ascii="仿宋" w:hAnsi="仿宋" w:eastAsia="仿宋" w:cs="仿宋"/>
                <w:color w:val="000000"/>
                <w:sz w:val="21"/>
                <w:szCs w:val="21"/>
              </w:rPr>
              <w:t>否</w:t>
            </w:r>
          </w:p>
        </w:tc>
      </w:tr>
      <w:tr w14:paraId="224A3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285A8C1A">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2</w:t>
            </w:r>
          </w:p>
        </w:tc>
        <w:tc>
          <w:tcPr>
            <w:tcW w:w="1215" w:type="dxa"/>
            <w:noWrap w:val="0"/>
            <w:tcMar>
              <w:top w:w="0" w:type="dxa"/>
              <w:left w:w="108" w:type="dxa"/>
              <w:bottom w:w="0" w:type="dxa"/>
              <w:right w:w="108" w:type="dxa"/>
            </w:tcMar>
            <w:vAlign w:val="center"/>
          </w:tcPr>
          <w:p w14:paraId="15C577CD">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技术分</w:t>
            </w:r>
          </w:p>
        </w:tc>
        <w:tc>
          <w:tcPr>
            <w:tcW w:w="825" w:type="dxa"/>
            <w:noWrap w:val="0"/>
            <w:tcMar>
              <w:top w:w="0" w:type="dxa"/>
              <w:left w:w="108" w:type="dxa"/>
              <w:bottom w:w="0" w:type="dxa"/>
              <w:right w:w="108" w:type="dxa"/>
            </w:tcMar>
            <w:vAlign w:val="center"/>
          </w:tcPr>
          <w:p w14:paraId="4F4D28DF">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50</w:t>
            </w:r>
          </w:p>
        </w:tc>
        <w:tc>
          <w:tcPr>
            <w:tcW w:w="3255" w:type="dxa"/>
            <w:noWrap w:val="0"/>
            <w:tcMar>
              <w:top w:w="0" w:type="dxa"/>
              <w:left w:w="108" w:type="dxa"/>
              <w:bottom w:w="0" w:type="dxa"/>
              <w:right w:w="108" w:type="dxa"/>
            </w:tcMar>
            <w:vAlign w:val="center"/>
          </w:tcPr>
          <w:p w14:paraId="239EC6DD">
            <w:pPr>
              <w:pBdr>
                <w:top w:val="none" w:color="000000" w:sz="0" w:space="0"/>
                <w:left w:val="none" w:color="000000" w:sz="0" w:space="0"/>
                <w:bottom w:val="none" w:color="000000" w:sz="0" w:space="0"/>
                <w:right w:val="none" w:color="000000" w:sz="0" w:space="0"/>
              </w:pBdr>
              <w:rPr>
                <w:rFonts w:hint="eastAsia" w:ascii="仿宋" w:hAnsi="仿宋" w:eastAsia="仿宋" w:cs="仿宋"/>
                <w:color w:val="000000"/>
              </w:rPr>
            </w:pPr>
            <w:r>
              <w:rPr>
                <w:rFonts w:hint="eastAsia" w:ascii="仿宋" w:hAnsi="仿宋" w:eastAsia="仿宋" w:cs="仿宋"/>
                <w:color w:val="000000"/>
              </w:rPr>
              <w:t> </w:t>
            </w:r>
          </w:p>
        </w:tc>
        <w:tc>
          <w:tcPr>
            <w:tcW w:w="1020" w:type="dxa"/>
            <w:noWrap w:val="0"/>
            <w:tcMar>
              <w:top w:w="0" w:type="dxa"/>
              <w:left w:w="108" w:type="dxa"/>
              <w:bottom w:w="0" w:type="dxa"/>
              <w:right w:w="108" w:type="dxa"/>
            </w:tcMar>
            <w:vAlign w:val="center"/>
          </w:tcPr>
          <w:p w14:paraId="78AE8A51">
            <w:pPr>
              <w:pBdr>
                <w:top w:val="none" w:color="000000" w:sz="0" w:space="0"/>
                <w:left w:val="none" w:color="000000" w:sz="0" w:space="0"/>
                <w:bottom w:val="none" w:color="000000" w:sz="0" w:space="0"/>
                <w:right w:val="none" w:color="000000" w:sz="0" w:space="0"/>
              </w:pBdr>
              <w:ind w:left="-38"/>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50</w:t>
            </w:r>
          </w:p>
        </w:tc>
        <w:tc>
          <w:tcPr>
            <w:tcW w:w="1410" w:type="dxa"/>
            <w:noWrap w:val="0"/>
            <w:tcMar>
              <w:top w:w="0" w:type="dxa"/>
              <w:left w:w="108" w:type="dxa"/>
              <w:bottom w:w="0" w:type="dxa"/>
              <w:right w:w="108" w:type="dxa"/>
            </w:tcMar>
            <w:vAlign w:val="center"/>
          </w:tcPr>
          <w:p w14:paraId="4EA34F6C">
            <w:pPr>
              <w:pBdr>
                <w:top w:val="none" w:color="000000" w:sz="0" w:space="0"/>
                <w:left w:val="none" w:color="000000" w:sz="0" w:space="0"/>
                <w:bottom w:val="none" w:color="000000" w:sz="0" w:space="0"/>
                <w:right w:val="none" w:color="000000" w:sz="0" w:space="0"/>
              </w:pBdr>
              <w:ind w:left="-38"/>
              <w:rPr>
                <w:rFonts w:hint="eastAsia" w:ascii="仿宋" w:hAnsi="仿宋" w:eastAsia="仿宋" w:cs="仿宋"/>
                <w:color w:val="000000"/>
              </w:rPr>
            </w:pPr>
          </w:p>
        </w:tc>
      </w:tr>
      <w:tr w14:paraId="06B48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3BA4462A">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2.1</w:t>
            </w:r>
          </w:p>
        </w:tc>
        <w:tc>
          <w:tcPr>
            <w:tcW w:w="1215" w:type="dxa"/>
            <w:noWrap w:val="0"/>
            <w:tcMar>
              <w:top w:w="0" w:type="dxa"/>
              <w:left w:w="108" w:type="dxa"/>
              <w:bottom w:w="0" w:type="dxa"/>
              <w:right w:w="108" w:type="dxa"/>
            </w:tcMar>
            <w:vAlign w:val="center"/>
          </w:tcPr>
          <w:p w14:paraId="172AAB4C">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服务方案</w:t>
            </w:r>
          </w:p>
        </w:tc>
        <w:tc>
          <w:tcPr>
            <w:tcW w:w="825" w:type="dxa"/>
            <w:noWrap w:val="0"/>
            <w:tcMar>
              <w:top w:w="0" w:type="dxa"/>
              <w:left w:w="108" w:type="dxa"/>
              <w:bottom w:w="0" w:type="dxa"/>
              <w:right w:w="108" w:type="dxa"/>
            </w:tcMar>
            <w:vAlign w:val="center"/>
          </w:tcPr>
          <w:p w14:paraId="3415F972">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628BA13F">
            <w:pPr>
              <w:widowControl/>
              <w:spacing w:before="100" w:beforeAutospacing="1" w:after="100" w:afterAutospacing="1"/>
              <w:jc w:val="left"/>
              <w:rPr>
                <w:rFonts w:hint="eastAsia"/>
                <w:color w:val="000000"/>
                <w:szCs w:val="24"/>
              </w:rPr>
            </w:pPr>
            <w:r>
              <w:rPr>
                <w:rFonts w:hint="eastAsia" w:ascii="仿宋" w:hAnsi="仿宋" w:eastAsia="仿宋" w:cs="仿宋"/>
                <w:color w:val="000000"/>
              </w:rPr>
              <w:t>服务方案包括技术系统与工作原理介绍</w:t>
            </w:r>
            <w:r>
              <w:rPr>
                <w:rFonts w:hint="eastAsia" w:ascii="仿宋" w:hAnsi="仿宋" w:eastAsia="仿宋" w:cs="仿宋"/>
                <w:color w:val="000000"/>
                <w:lang w:eastAsia="zh-CN"/>
              </w:rPr>
              <w:t>、项目服务方案、应急响应措施。</w:t>
            </w:r>
            <w:r>
              <w:rPr>
                <w:rFonts w:hint="eastAsia" w:ascii="仿宋" w:hAnsi="仿宋" w:eastAsia="仿宋" w:cs="仿宋"/>
                <w:color w:val="000000"/>
              </w:rPr>
              <w:t>方案设计详细、全面、准确地满足采购需求，可操作性强，得10分；有详细设计方案，较好满足采购需求，可操作性较强得8分；有设计方案，满足采购需求，可操作性一般的得6分；有设计方案，满足采购需求，可操作性较弱得4分；不提供不得分。</w:t>
            </w:r>
          </w:p>
        </w:tc>
        <w:tc>
          <w:tcPr>
            <w:tcW w:w="1020" w:type="dxa"/>
            <w:noWrap w:val="0"/>
            <w:tcMar>
              <w:top w:w="0" w:type="dxa"/>
              <w:left w:w="108" w:type="dxa"/>
              <w:bottom w:w="0" w:type="dxa"/>
              <w:right w:w="108" w:type="dxa"/>
            </w:tcMar>
            <w:vAlign w:val="center"/>
          </w:tcPr>
          <w:p w14:paraId="59EFE804">
            <w:pPr>
              <w:pBdr>
                <w:top w:val="none" w:color="000000" w:sz="0" w:space="0"/>
                <w:left w:val="none" w:color="000000" w:sz="0" w:space="0"/>
                <w:bottom w:val="none" w:color="000000" w:sz="0" w:space="0"/>
                <w:right w:val="none" w:color="000000" w:sz="0" w:space="0"/>
              </w:pBdr>
              <w:ind w:left="-38"/>
              <w:jc w:val="center"/>
              <w:rPr>
                <w:color w:val="000000"/>
                <w:szCs w:val="24"/>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057B1E99">
            <w:pPr>
              <w:spacing w:line="240" w:lineRule="exact"/>
              <w:jc w:val="center"/>
              <w:rPr>
                <w:rFonts w:hint="eastAsia"/>
                <w:color w:val="000000"/>
                <w:szCs w:val="24"/>
              </w:rPr>
            </w:pPr>
            <w:r>
              <w:rPr>
                <w:rStyle w:val="24"/>
                <w:rFonts w:hint="eastAsia" w:ascii="仿宋" w:hAnsi="仿宋" w:eastAsia="仿宋" w:cs="仿宋"/>
                <w:color w:val="000000"/>
                <w:sz w:val="21"/>
                <w:szCs w:val="21"/>
              </w:rPr>
              <w:t>否</w:t>
            </w:r>
          </w:p>
        </w:tc>
      </w:tr>
      <w:tr w14:paraId="6529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0A932839">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2.2</w:t>
            </w:r>
          </w:p>
        </w:tc>
        <w:tc>
          <w:tcPr>
            <w:tcW w:w="1215" w:type="dxa"/>
            <w:noWrap w:val="0"/>
            <w:tcMar>
              <w:top w:w="0" w:type="dxa"/>
              <w:left w:w="108" w:type="dxa"/>
              <w:bottom w:w="0" w:type="dxa"/>
              <w:right w:w="108" w:type="dxa"/>
            </w:tcMar>
            <w:vAlign w:val="center"/>
          </w:tcPr>
          <w:p w14:paraId="078E43FE">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实施方案</w:t>
            </w:r>
          </w:p>
        </w:tc>
        <w:tc>
          <w:tcPr>
            <w:tcW w:w="825" w:type="dxa"/>
            <w:noWrap w:val="0"/>
            <w:tcMar>
              <w:top w:w="0" w:type="dxa"/>
              <w:left w:w="108" w:type="dxa"/>
              <w:bottom w:w="0" w:type="dxa"/>
              <w:right w:w="108" w:type="dxa"/>
            </w:tcMar>
            <w:vAlign w:val="center"/>
          </w:tcPr>
          <w:p w14:paraId="5B030D8C">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426C9C21">
            <w:pPr>
              <w:widowControl/>
              <w:jc w:val="left"/>
              <w:rPr>
                <w:rFonts w:hint="eastAsia" w:ascii="宋体" w:cs="宋体"/>
                <w:color w:val="000000"/>
              </w:rPr>
            </w:pPr>
            <w:r>
              <w:rPr>
                <w:rFonts w:hint="eastAsia" w:ascii="仿宋" w:hAnsi="仿宋" w:eastAsia="仿宋" w:cs="仿宋"/>
                <w:color w:val="000000"/>
              </w:rPr>
              <w:t>项目管理、项目实施、平台服务人员的专业配置合理；能力、经验满足本项目建设需要；有规范、健全、完善的项目管理制度，责任分工合理、清晰、明确，得10分；专业配置较合理，制度较完善，分工较合理的得8分；专业配置合理性、制度完善性一般，得6分；专业配置合理性、制度完善性较差，得4分；没有合理分工或不提供的不得分。</w:t>
            </w:r>
          </w:p>
        </w:tc>
        <w:tc>
          <w:tcPr>
            <w:tcW w:w="1020" w:type="dxa"/>
            <w:noWrap w:val="0"/>
            <w:tcMar>
              <w:top w:w="0" w:type="dxa"/>
              <w:left w:w="108" w:type="dxa"/>
              <w:bottom w:w="0" w:type="dxa"/>
              <w:right w:w="108" w:type="dxa"/>
            </w:tcMar>
            <w:vAlign w:val="center"/>
          </w:tcPr>
          <w:p w14:paraId="684ED341">
            <w:pPr>
              <w:pBdr>
                <w:top w:val="none" w:color="000000" w:sz="0" w:space="0"/>
                <w:left w:val="none" w:color="000000" w:sz="0" w:space="0"/>
                <w:bottom w:val="none" w:color="000000" w:sz="0" w:space="0"/>
                <w:right w:val="none" w:color="000000" w:sz="0" w:space="0"/>
              </w:pBdr>
              <w:ind w:left="-38"/>
              <w:jc w:val="center"/>
              <w:rPr>
                <w:rFonts w:hint="eastAsia" w:ascii="宋体" w:hAnsi="宋体" w:cs="宋体"/>
                <w:b/>
                <w:bCs/>
                <w:color w:val="000000"/>
                <w:sz w:val="20"/>
                <w:szCs w:val="20"/>
                <w:lang w:bidi="ar"/>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16754200">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04F6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trPr>
        <w:tc>
          <w:tcPr>
            <w:tcW w:w="674" w:type="dxa"/>
            <w:noWrap w:val="0"/>
            <w:tcMar>
              <w:top w:w="0" w:type="dxa"/>
              <w:left w:w="108" w:type="dxa"/>
              <w:bottom w:w="0" w:type="dxa"/>
              <w:right w:w="108" w:type="dxa"/>
            </w:tcMar>
            <w:vAlign w:val="center"/>
          </w:tcPr>
          <w:p w14:paraId="5832630F">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2.3</w:t>
            </w:r>
          </w:p>
        </w:tc>
        <w:tc>
          <w:tcPr>
            <w:tcW w:w="1215" w:type="dxa"/>
            <w:noWrap w:val="0"/>
            <w:tcMar>
              <w:top w:w="0" w:type="dxa"/>
              <w:left w:w="108" w:type="dxa"/>
              <w:bottom w:w="0" w:type="dxa"/>
              <w:right w:w="108" w:type="dxa"/>
            </w:tcMar>
            <w:vAlign w:val="center"/>
          </w:tcPr>
          <w:p w14:paraId="389BE363">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平台演示一</w:t>
            </w:r>
          </w:p>
        </w:tc>
        <w:tc>
          <w:tcPr>
            <w:tcW w:w="825" w:type="dxa"/>
            <w:noWrap w:val="0"/>
            <w:tcMar>
              <w:top w:w="0" w:type="dxa"/>
              <w:left w:w="108" w:type="dxa"/>
              <w:bottom w:w="0" w:type="dxa"/>
              <w:right w:w="108" w:type="dxa"/>
            </w:tcMar>
            <w:vAlign w:val="center"/>
          </w:tcPr>
          <w:p w14:paraId="2BE97BDE">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31C464A0">
            <w:pPr>
              <w:widowControl/>
              <w:jc w:val="left"/>
              <w:rPr>
                <w:rFonts w:hint="eastAsia" w:ascii="仿宋" w:hAnsi="仿宋" w:eastAsia="仿宋" w:cs="仿宋"/>
                <w:color w:val="000000"/>
              </w:rPr>
            </w:pPr>
            <w:r>
              <w:rPr>
                <w:rFonts w:hint="eastAsia" w:ascii="仿宋" w:hAnsi="仿宋" w:eastAsia="仿宋" w:cs="仿宋"/>
                <w:color w:val="000000"/>
              </w:rPr>
              <w:t>演示监测平台功能模块：</w:t>
            </w:r>
          </w:p>
          <w:p w14:paraId="2E6017E4">
            <w:pPr>
              <w:widowControl/>
              <w:jc w:val="left"/>
              <w:rPr>
                <w:rFonts w:hint="eastAsia" w:ascii="仿宋" w:hAnsi="仿宋" w:eastAsia="仿宋" w:cs="仿宋"/>
                <w:color w:val="000000"/>
              </w:rPr>
            </w:pPr>
            <w:r>
              <w:rPr>
                <w:rFonts w:hint="eastAsia" w:ascii="仿宋" w:hAnsi="仿宋" w:eastAsia="仿宋" w:cs="仿宋"/>
                <w:color w:val="000000"/>
              </w:rPr>
              <w:t>功能完善，</w:t>
            </w:r>
            <w:r>
              <w:rPr>
                <w:rFonts w:hint="eastAsia" w:ascii="仿宋" w:hAnsi="仿宋" w:eastAsia="仿宋" w:cs="仿宋"/>
                <w:color w:val="000000"/>
                <w:lang w:eastAsia="zh-CN"/>
              </w:rPr>
              <w:t>能覆盖较全面主流新媒体平台（至少包含：公众号、抖音、快手、今日头条、微博</w:t>
            </w:r>
            <w:r>
              <w:rPr>
                <w:rFonts w:hint="eastAsia" w:ascii="仿宋" w:hAnsi="仿宋" w:eastAsia="仿宋" w:cs="仿宋"/>
                <w:color w:val="000000"/>
                <w:lang w:val="en-US" w:eastAsia="zh-CN"/>
              </w:rPr>
              <w:t>、小红书</w:t>
            </w:r>
            <w:r>
              <w:rPr>
                <w:rFonts w:hint="eastAsia" w:ascii="仿宋" w:hAnsi="仿宋" w:eastAsia="仿宋" w:cs="仿宋"/>
                <w:color w:val="000000"/>
                <w:lang w:eastAsia="zh-CN"/>
              </w:rPr>
              <w:t>）的，得</w:t>
            </w:r>
            <w:r>
              <w:rPr>
                <w:rFonts w:hint="eastAsia" w:ascii="仿宋" w:hAnsi="仿宋" w:eastAsia="仿宋" w:cs="仿宋"/>
                <w:color w:val="000000"/>
              </w:rPr>
              <w:t>10分；功能比较完善，</w:t>
            </w:r>
            <w:r>
              <w:rPr>
                <w:rFonts w:hint="eastAsia" w:ascii="仿宋" w:hAnsi="仿宋" w:eastAsia="仿宋" w:cs="仿宋"/>
                <w:color w:val="000000"/>
                <w:lang w:eastAsia="zh-CN"/>
              </w:rPr>
              <w:t>能覆盖大部分主流新媒体平台的</w:t>
            </w:r>
            <w:r>
              <w:rPr>
                <w:rFonts w:hint="eastAsia" w:ascii="仿宋" w:hAnsi="仿宋" w:eastAsia="仿宋" w:cs="仿宋"/>
                <w:color w:val="000000"/>
              </w:rPr>
              <w:t>，得8分；功能一般，</w:t>
            </w:r>
            <w:r>
              <w:rPr>
                <w:rFonts w:hint="eastAsia" w:ascii="仿宋" w:hAnsi="仿宋" w:eastAsia="仿宋" w:cs="仿宋"/>
                <w:color w:val="000000"/>
                <w:lang w:eastAsia="zh-CN"/>
              </w:rPr>
              <w:t>覆盖主流新媒体平台较少的</w:t>
            </w:r>
            <w:r>
              <w:rPr>
                <w:rFonts w:hint="eastAsia" w:ascii="仿宋" w:hAnsi="仿宋" w:eastAsia="仿宋" w:cs="仿宋"/>
                <w:color w:val="000000"/>
              </w:rPr>
              <w:t>得6分；功能较差，</w:t>
            </w:r>
            <w:r>
              <w:rPr>
                <w:rFonts w:hint="eastAsia" w:ascii="仿宋" w:hAnsi="仿宋" w:eastAsia="仿宋" w:cs="仿宋"/>
                <w:color w:val="000000"/>
                <w:lang w:eastAsia="zh-CN"/>
              </w:rPr>
              <w:t>仅能覆盖个别主流新媒体平台的，</w:t>
            </w:r>
            <w:r>
              <w:rPr>
                <w:rFonts w:hint="eastAsia" w:ascii="仿宋" w:hAnsi="仿宋" w:eastAsia="仿宋" w:cs="仿宋"/>
                <w:color w:val="000000"/>
              </w:rPr>
              <w:t>得4分；功能不齐全或不提供的不得分。</w:t>
            </w:r>
          </w:p>
          <w:p w14:paraId="200DD3CC">
            <w:pPr>
              <w:widowControl/>
              <w:jc w:val="left"/>
              <w:rPr>
                <w:rFonts w:hint="eastAsia" w:ascii="仿宋" w:hAnsi="仿宋" w:eastAsia="仿宋" w:cs="仿宋"/>
                <w:color w:val="000000"/>
                <w:lang w:eastAsia="zh-CN"/>
              </w:rPr>
            </w:pPr>
            <w:r>
              <w:rPr>
                <w:rFonts w:hint="eastAsia" w:ascii="仿宋" w:hAnsi="仿宋" w:eastAsia="仿宋" w:cs="仿宋"/>
                <w:color w:val="000000"/>
              </w:rPr>
              <w:t>注：供应商提供演示视频（非PPT等非产品类演示视频），未提供或提供的视频不能播放或不符合要求的不得分</w:t>
            </w:r>
            <w:r>
              <w:rPr>
                <w:rFonts w:hint="eastAsia" w:ascii="仿宋" w:hAnsi="仿宋" w:eastAsia="仿宋" w:cs="仿宋"/>
                <w:color w:val="000000"/>
                <w:lang w:eastAsia="zh-CN"/>
              </w:rPr>
              <w:t>。</w:t>
            </w:r>
          </w:p>
        </w:tc>
        <w:tc>
          <w:tcPr>
            <w:tcW w:w="1020" w:type="dxa"/>
            <w:noWrap w:val="0"/>
            <w:tcMar>
              <w:top w:w="0" w:type="dxa"/>
              <w:left w:w="108" w:type="dxa"/>
              <w:bottom w:w="0" w:type="dxa"/>
              <w:right w:w="108" w:type="dxa"/>
            </w:tcMar>
            <w:vAlign w:val="center"/>
          </w:tcPr>
          <w:p w14:paraId="74D85F1A">
            <w:pPr>
              <w:pBdr>
                <w:top w:val="none" w:color="000000" w:sz="0" w:space="0"/>
                <w:left w:val="none" w:color="000000" w:sz="0" w:space="0"/>
                <w:bottom w:val="none" w:color="000000" w:sz="0" w:space="0"/>
                <w:right w:val="none" w:color="000000" w:sz="0" w:space="0"/>
              </w:pBdr>
              <w:ind w:left="-38"/>
              <w:jc w:val="center"/>
              <w:rPr>
                <w:rFonts w:hint="eastAsia" w:ascii="宋体" w:hAnsi="宋体" w:cs="宋体"/>
                <w:b/>
                <w:bCs/>
                <w:color w:val="000000"/>
                <w:sz w:val="20"/>
                <w:szCs w:val="20"/>
                <w:lang w:bidi="ar"/>
              </w:rPr>
            </w:pPr>
            <w:r>
              <w:rPr>
                <w:rFonts w:hint="eastAsia" w:ascii="仿宋" w:hAnsi="仿宋" w:eastAsia="仿宋" w:cs="仿宋"/>
                <w:color w:val="000000"/>
              </w:rPr>
              <w:t>10</w:t>
            </w:r>
          </w:p>
        </w:tc>
        <w:tc>
          <w:tcPr>
            <w:tcW w:w="1410" w:type="dxa"/>
            <w:noWrap w:val="0"/>
            <w:tcMar>
              <w:top w:w="0" w:type="dxa"/>
              <w:left w:w="108" w:type="dxa"/>
              <w:bottom w:w="0" w:type="dxa"/>
              <w:right w:w="108" w:type="dxa"/>
            </w:tcMar>
            <w:vAlign w:val="center"/>
          </w:tcPr>
          <w:p w14:paraId="632BDEE0">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2821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4E025E83">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2.4</w:t>
            </w:r>
          </w:p>
        </w:tc>
        <w:tc>
          <w:tcPr>
            <w:tcW w:w="1215" w:type="dxa"/>
            <w:noWrap w:val="0"/>
            <w:tcMar>
              <w:top w:w="0" w:type="dxa"/>
              <w:left w:w="108" w:type="dxa"/>
              <w:bottom w:w="0" w:type="dxa"/>
              <w:right w:w="108" w:type="dxa"/>
            </w:tcMar>
            <w:vAlign w:val="center"/>
          </w:tcPr>
          <w:p w14:paraId="00B4DBA7">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平台演示二</w:t>
            </w:r>
          </w:p>
        </w:tc>
        <w:tc>
          <w:tcPr>
            <w:tcW w:w="825" w:type="dxa"/>
            <w:noWrap w:val="0"/>
            <w:tcMar>
              <w:top w:w="0" w:type="dxa"/>
              <w:left w:w="108" w:type="dxa"/>
              <w:bottom w:w="0" w:type="dxa"/>
              <w:right w:w="108" w:type="dxa"/>
            </w:tcMar>
            <w:vAlign w:val="center"/>
          </w:tcPr>
          <w:p w14:paraId="05C63D67">
            <w:pPr>
              <w:pBdr>
                <w:top w:val="none" w:color="000000" w:sz="0" w:space="0"/>
                <w:left w:val="none" w:color="000000" w:sz="0" w:space="0"/>
                <w:bottom w:val="none" w:color="000000" w:sz="0" w:space="0"/>
                <w:right w:val="none" w:color="000000" w:sz="0" w:space="0"/>
              </w:pBdr>
              <w:spacing w:line="360" w:lineRule="atLeast"/>
              <w:jc w:val="center"/>
              <w:rPr>
                <w:rFonts w:ascii="仿宋" w:hAnsi="仿宋" w:eastAsia="仿宋" w:cs="仿宋"/>
                <w:color w:val="000000"/>
              </w:rPr>
            </w:pPr>
            <w:r>
              <w:rPr>
                <w:rFonts w:hint="eastAsia" w:ascii="仿宋" w:hAnsi="仿宋" w:eastAsia="仿宋" w:cs="仿宋"/>
                <w:color w:val="000000"/>
              </w:rPr>
              <w:t>10</w:t>
            </w:r>
          </w:p>
        </w:tc>
        <w:tc>
          <w:tcPr>
            <w:tcW w:w="3255" w:type="dxa"/>
            <w:noWrap w:val="0"/>
            <w:tcMar>
              <w:top w:w="0" w:type="dxa"/>
              <w:left w:w="108" w:type="dxa"/>
              <w:bottom w:w="0" w:type="dxa"/>
              <w:right w:w="108" w:type="dxa"/>
            </w:tcMar>
            <w:vAlign w:val="center"/>
          </w:tcPr>
          <w:p w14:paraId="005D3312">
            <w:pPr>
              <w:widowControl/>
              <w:jc w:val="left"/>
              <w:rPr>
                <w:rFonts w:hint="eastAsia" w:ascii="仿宋" w:hAnsi="仿宋" w:eastAsia="仿宋" w:cs="仿宋"/>
                <w:color w:val="000000"/>
              </w:rPr>
            </w:pPr>
            <w:r>
              <w:rPr>
                <w:rFonts w:hint="eastAsia" w:ascii="仿宋" w:hAnsi="仿宋" w:eastAsia="仿宋" w:cs="仿宋"/>
                <w:color w:val="000000"/>
              </w:rPr>
              <w:t>演示平台具备风险提示反馈功能：</w:t>
            </w:r>
          </w:p>
          <w:p w14:paraId="185EB95E">
            <w:pPr>
              <w:widowControl/>
              <w:jc w:val="left"/>
              <w:rPr>
                <w:rFonts w:hint="eastAsia" w:ascii="仿宋" w:hAnsi="仿宋" w:eastAsia="仿宋" w:cs="仿宋"/>
                <w:color w:val="000000"/>
              </w:rPr>
            </w:pPr>
            <w:r>
              <w:rPr>
                <w:rFonts w:hint="eastAsia" w:ascii="仿宋" w:hAnsi="仿宋" w:eastAsia="仿宋" w:cs="仿宋"/>
                <w:color w:val="000000"/>
              </w:rPr>
              <w:t>提示、反馈迅速、要点清晰的，得10分；提示、反馈比较迅速、要点比较清晰，得8分；提示、反馈速度和要点清晰性一般，得6分；提示、反馈速度和要点清晰性较差，得4分；无提示反馈功能或不提供的不得分。</w:t>
            </w:r>
          </w:p>
          <w:p w14:paraId="66A7734E">
            <w:pPr>
              <w:widowControl/>
              <w:jc w:val="left"/>
              <w:rPr>
                <w:rFonts w:hint="eastAsia" w:ascii="仿宋" w:hAnsi="仿宋" w:eastAsia="仿宋" w:cs="仿宋"/>
                <w:color w:val="000000"/>
                <w:lang w:eastAsia="zh-CN"/>
              </w:rPr>
            </w:pPr>
            <w:r>
              <w:rPr>
                <w:rFonts w:hint="eastAsia" w:ascii="仿宋" w:hAnsi="仿宋" w:eastAsia="仿宋" w:cs="仿宋"/>
                <w:color w:val="000000"/>
              </w:rPr>
              <w:t>注：供应商提供演示视频（非PPT等非产品类演示视频），未提供或提供的视频不能播放或不符合要求的不得分</w:t>
            </w:r>
            <w:r>
              <w:rPr>
                <w:rFonts w:hint="eastAsia" w:ascii="仿宋" w:hAnsi="仿宋" w:eastAsia="仿宋" w:cs="仿宋"/>
                <w:color w:val="000000"/>
                <w:lang w:eastAsia="zh-CN"/>
              </w:rPr>
              <w:t>。</w:t>
            </w:r>
          </w:p>
        </w:tc>
        <w:tc>
          <w:tcPr>
            <w:tcW w:w="1020" w:type="dxa"/>
            <w:noWrap w:val="0"/>
            <w:tcMar>
              <w:top w:w="0" w:type="dxa"/>
              <w:left w:w="108" w:type="dxa"/>
              <w:bottom w:w="0" w:type="dxa"/>
              <w:right w:w="108" w:type="dxa"/>
            </w:tcMar>
            <w:vAlign w:val="center"/>
          </w:tcPr>
          <w:p w14:paraId="28B14FA4">
            <w:pPr>
              <w:spacing w:line="240" w:lineRule="exact"/>
              <w:jc w:val="center"/>
              <w:rPr>
                <w:rFonts w:hint="eastAsia" w:ascii="宋体" w:hAnsi="宋体" w:cs="宋体"/>
                <w:b/>
                <w:bCs/>
                <w:color w:val="000000"/>
                <w:sz w:val="20"/>
                <w:szCs w:val="20"/>
                <w:lang w:bidi="ar"/>
              </w:rPr>
            </w:pPr>
            <w:r>
              <w:rPr>
                <w:rFonts w:hint="eastAsia" w:ascii="仿宋" w:hAnsi="仿宋" w:eastAsia="仿宋" w:cs="仿宋"/>
                <w:color w:val="000000"/>
                <w:kern w:val="2"/>
                <w:sz w:val="21"/>
                <w:szCs w:val="21"/>
                <w:lang w:val="en-US" w:eastAsia="zh-CN" w:bidi="ar-SA"/>
              </w:rPr>
              <w:t>10</w:t>
            </w:r>
          </w:p>
        </w:tc>
        <w:tc>
          <w:tcPr>
            <w:tcW w:w="1410" w:type="dxa"/>
            <w:noWrap w:val="0"/>
            <w:tcMar>
              <w:top w:w="0" w:type="dxa"/>
              <w:left w:w="108" w:type="dxa"/>
              <w:bottom w:w="0" w:type="dxa"/>
              <w:right w:w="108" w:type="dxa"/>
            </w:tcMar>
            <w:vAlign w:val="center"/>
          </w:tcPr>
          <w:p w14:paraId="75BDD0E3">
            <w:pPr>
              <w:spacing w:line="240" w:lineRule="exact"/>
              <w:jc w:val="center"/>
              <w:rPr>
                <w:rFonts w:hint="eastAsia" w:ascii="宋体" w:hAnsi="宋体" w:cs="宋体"/>
                <w:b/>
                <w:bCs/>
                <w:color w:val="000000"/>
                <w:sz w:val="20"/>
                <w:szCs w:val="20"/>
                <w:lang w:bidi="ar"/>
              </w:rPr>
            </w:pPr>
            <w:r>
              <w:rPr>
                <w:rStyle w:val="24"/>
                <w:rFonts w:hint="eastAsia" w:ascii="仿宋" w:hAnsi="仿宋" w:eastAsia="仿宋" w:cs="仿宋"/>
                <w:color w:val="000000"/>
                <w:sz w:val="21"/>
                <w:szCs w:val="21"/>
              </w:rPr>
              <w:t>否</w:t>
            </w:r>
          </w:p>
        </w:tc>
      </w:tr>
      <w:tr w14:paraId="0628B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2C546F60">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2.5</w:t>
            </w:r>
          </w:p>
        </w:tc>
        <w:tc>
          <w:tcPr>
            <w:tcW w:w="1215" w:type="dxa"/>
            <w:noWrap w:val="0"/>
            <w:tcMar>
              <w:top w:w="0" w:type="dxa"/>
              <w:left w:w="108" w:type="dxa"/>
              <w:bottom w:w="0" w:type="dxa"/>
              <w:right w:w="108" w:type="dxa"/>
            </w:tcMar>
            <w:vAlign w:val="center"/>
          </w:tcPr>
          <w:p w14:paraId="050CF11D">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lang w:eastAsia="zh-CN"/>
              </w:rPr>
              <w:t>决策辅助</w:t>
            </w:r>
          </w:p>
        </w:tc>
        <w:tc>
          <w:tcPr>
            <w:tcW w:w="825" w:type="dxa"/>
            <w:noWrap w:val="0"/>
            <w:tcMar>
              <w:top w:w="0" w:type="dxa"/>
              <w:left w:w="108" w:type="dxa"/>
              <w:bottom w:w="0" w:type="dxa"/>
              <w:right w:w="108" w:type="dxa"/>
            </w:tcMar>
            <w:vAlign w:val="center"/>
          </w:tcPr>
          <w:p w14:paraId="23E1F0E3">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3255" w:type="dxa"/>
            <w:noWrap w:val="0"/>
            <w:tcMar>
              <w:top w:w="0" w:type="dxa"/>
              <w:left w:w="108" w:type="dxa"/>
              <w:bottom w:w="0" w:type="dxa"/>
              <w:right w:w="108" w:type="dxa"/>
            </w:tcMar>
            <w:vAlign w:val="center"/>
          </w:tcPr>
          <w:p w14:paraId="661358E0">
            <w:pPr>
              <w:pStyle w:val="26"/>
              <w:spacing w:line="300" w:lineRule="exact"/>
              <w:rPr>
                <w:rFonts w:hint="default" w:ascii="仿宋" w:hAnsi="仿宋" w:eastAsia="仿宋" w:cs="仿宋"/>
                <w:sz w:val="21"/>
                <w:szCs w:val="21"/>
                <w:lang w:val="en-US" w:eastAsia="zh-CN"/>
              </w:rPr>
            </w:pPr>
            <w:r>
              <w:rPr>
                <w:rFonts w:hint="eastAsia" w:ascii="仿宋" w:hAnsi="仿宋" w:eastAsia="仿宋" w:cs="仿宋"/>
                <w:sz w:val="21"/>
                <w:szCs w:val="21"/>
                <w:lang w:eastAsia="zh-CN"/>
              </w:rPr>
              <w:t>供应商承诺：如发生网络风险信息事件，供应商根据采购人要求实时提供风险信息清单和平台、链接、数据等信息并提供趋势分析。按要求提供承诺函的得</w:t>
            </w:r>
            <w:r>
              <w:rPr>
                <w:rFonts w:hint="eastAsia" w:ascii="仿宋" w:hAnsi="仿宋" w:eastAsia="仿宋" w:cs="仿宋"/>
                <w:sz w:val="21"/>
                <w:szCs w:val="21"/>
                <w:lang w:val="en-US" w:eastAsia="zh-CN"/>
              </w:rPr>
              <w:t>5分。</w:t>
            </w:r>
          </w:p>
          <w:p w14:paraId="338C64B0">
            <w:pPr>
              <w:rPr>
                <w:rFonts w:hint="eastAsia" w:ascii="Times New Roman" w:hAnsi="Times New Roman"/>
                <w:kern w:val="2"/>
                <w:sz w:val="21"/>
                <w:szCs w:val="21"/>
                <w:lang w:val="en-US" w:eastAsia="zh-CN" w:bidi="ar-SA"/>
              </w:rPr>
            </w:pPr>
            <w:r>
              <w:rPr>
                <w:rFonts w:hint="eastAsia" w:ascii="仿宋" w:hAnsi="仿宋" w:eastAsia="仿宋" w:cs="仿宋"/>
                <w:sz w:val="21"/>
                <w:szCs w:val="21"/>
                <w:lang w:eastAsia="zh-CN"/>
              </w:rPr>
              <w:t>注：未按要求提供或不提供的不得分。</w:t>
            </w:r>
          </w:p>
        </w:tc>
        <w:tc>
          <w:tcPr>
            <w:tcW w:w="1020" w:type="dxa"/>
            <w:noWrap w:val="0"/>
            <w:tcMar>
              <w:top w:w="0" w:type="dxa"/>
              <w:left w:w="108" w:type="dxa"/>
              <w:bottom w:w="0" w:type="dxa"/>
              <w:right w:w="108" w:type="dxa"/>
            </w:tcMar>
            <w:vAlign w:val="center"/>
          </w:tcPr>
          <w:p w14:paraId="143A8218">
            <w:pPr>
              <w:spacing w:line="24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1410" w:type="dxa"/>
            <w:noWrap w:val="0"/>
            <w:tcMar>
              <w:top w:w="0" w:type="dxa"/>
              <w:left w:w="108" w:type="dxa"/>
              <w:bottom w:w="0" w:type="dxa"/>
              <w:right w:w="108" w:type="dxa"/>
            </w:tcMar>
            <w:vAlign w:val="center"/>
          </w:tcPr>
          <w:p w14:paraId="089C8EA3">
            <w:pPr>
              <w:spacing w:line="2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否</w:t>
            </w:r>
          </w:p>
        </w:tc>
      </w:tr>
      <w:tr w14:paraId="1D21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7A722E16">
            <w:pPr>
              <w:pBdr>
                <w:top w:val="none" w:color="000000" w:sz="0" w:space="0"/>
                <w:left w:val="none" w:color="000000" w:sz="0" w:space="0"/>
                <w:bottom w:val="none" w:color="000000" w:sz="0" w:space="0"/>
                <w:right w:val="none" w:color="000000" w:sz="0" w:space="0"/>
              </w:pBdr>
              <w:spacing w:line="360" w:lineRule="atLeas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2.6</w:t>
            </w:r>
          </w:p>
        </w:tc>
        <w:tc>
          <w:tcPr>
            <w:tcW w:w="1215" w:type="dxa"/>
            <w:noWrap w:val="0"/>
            <w:tcMar>
              <w:top w:w="0" w:type="dxa"/>
              <w:left w:w="108" w:type="dxa"/>
              <w:bottom w:w="0" w:type="dxa"/>
              <w:right w:w="108" w:type="dxa"/>
            </w:tcMar>
            <w:vAlign w:val="center"/>
          </w:tcPr>
          <w:p w14:paraId="41AEEFBD">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lang w:eastAsia="zh-CN"/>
              </w:rPr>
            </w:pPr>
            <w:r>
              <w:rPr>
                <w:rFonts w:hint="eastAsia" w:ascii="仿宋" w:hAnsi="仿宋" w:eastAsia="仿宋" w:cs="仿宋"/>
                <w:color w:val="000000"/>
                <w:lang w:eastAsia="zh-CN"/>
              </w:rPr>
              <w:t>培训方案</w:t>
            </w:r>
          </w:p>
        </w:tc>
        <w:tc>
          <w:tcPr>
            <w:tcW w:w="825" w:type="dxa"/>
            <w:noWrap w:val="0"/>
            <w:tcMar>
              <w:top w:w="0" w:type="dxa"/>
              <w:left w:w="108" w:type="dxa"/>
              <w:bottom w:w="0" w:type="dxa"/>
              <w:right w:w="108" w:type="dxa"/>
            </w:tcMar>
            <w:vAlign w:val="center"/>
          </w:tcPr>
          <w:p w14:paraId="48763F5A">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3255" w:type="dxa"/>
            <w:noWrap w:val="0"/>
            <w:tcMar>
              <w:top w:w="0" w:type="dxa"/>
              <w:left w:w="108" w:type="dxa"/>
              <w:bottom w:w="0" w:type="dxa"/>
              <w:right w:w="108" w:type="dxa"/>
            </w:tcMar>
            <w:vAlign w:val="center"/>
          </w:tcPr>
          <w:p w14:paraId="61118DBC">
            <w:pPr>
              <w:rPr>
                <w:rFonts w:hint="default" w:ascii="仿宋" w:hAnsi="仿宋" w:eastAsia="仿宋" w:cs="仿宋"/>
                <w:sz w:val="21"/>
                <w:szCs w:val="21"/>
                <w:lang w:val="en-US" w:eastAsia="zh-CN"/>
              </w:rPr>
            </w:pPr>
            <w:r>
              <w:rPr>
                <w:rFonts w:hint="eastAsia" w:ascii="仿宋" w:hAnsi="仿宋" w:eastAsia="仿宋" w:cs="仿宋"/>
                <w:sz w:val="21"/>
                <w:szCs w:val="21"/>
                <w:lang w:eastAsia="zh-CN"/>
              </w:rPr>
              <w:t>供应商承诺：提供培训方案，根据甲方需求，围绕行业典型案例、服务期网络风险信息监测情况和处置经验开展业务培训</w:t>
            </w:r>
            <w:r>
              <w:rPr>
                <w:rFonts w:hint="eastAsia" w:ascii="仿宋" w:hAnsi="仿宋" w:eastAsia="仿宋" w:cs="仿宋"/>
                <w:sz w:val="21"/>
                <w:szCs w:val="21"/>
                <w:lang w:val="en-US" w:eastAsia="zh-CN"/>
              </w:rPr>
              <w:t>1次。培训主题、内容大纲详细的，得5分；培训主题、内容大纲比较详细的，得3分；培训主题、内容大纲不够详细的，不得分。</w:t>
            </w:r>
          </w:p>
        </w:tc>
        <w:tc>
          <w:tcPr>
            <w:tcW w:w="1020" w:type="dxa"/>
            <w:noWrap w:val="0"/>
            <w:tcMar>
              <w:top w:w="0" w:type="dxa"/>
              <w:left w:w="108" w:type="dxa"/>
              <w:bottom w:w="0" w:type="dxa"/>
              <w:right w:w="108" w:type="dxa"/>
            </w:tcMar>
            <w:vAlign w:val="center"/>
          </w:tcPr>
          <w:p w14:paraId="3976D537">
            <w:pPr>
              <w:spacing w:line="240" w:lineRule="exact"/>
              <w:jc w:val="center"/>
              <w:rPr>
                <w:rFonts w:hint="default"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5</w:t>
            </w:r>
          </w:p>
        </w:tc>
        <w:tc>
          <w:tcPr>
            <w:tcW w:w="1410" w:type="dxa"/>
            <w:noWrap w:val="0"/>
            <w:tcMar>
              <w:top w:w="0" w:type="dxa"/>
              <w:left w:w="108" w:type="dxa"/>
              <w:bottom w:w="0" w:type="dxa"/>
              <w:right w:w="108" w:type="dxa"/>
            </w:tcMar>
            <w:vAlign w:val="center"/>
          </w:tcPr>
          <w:p w14:paraId="7FCF4C7E">
            <w:pPr>
              <w:spacing w:line="240" w:lineRule="exact"/>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否</w:t>
            </w:r>
          </w:p>
        </w:tc>
      </w:tr>
      <w:tr w14:paraId="3506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674" w:type="dxa"/>
            <w:noWrap w:val="0"/>
            <w:tcMar>
              <w:top w:w="0" w:type="dxa"/>
              <w:left w:w="108" w:type="dxa"/>
              <w:bottom w:w="0" w:type="dxa"/>
              <w:right w:w="108" w:type="dxa"/>
            </w:tcMar>
            <w:vAlign w:val="center"/>
          </w:tcPr>
          <w:p w14:paraId="184445FB">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rPr>
            </w:pPr>
            <w:r>
              <w:rPr>
                <w:rFonts w:hint="eastAsia" w:ascii="仿宋" w:hAnsi="仿宋" w:eastAsia="仿宋" w:cs="仿宋"/>
                <w:color w:val="000000"/>
              </w:rPr>
              <w:t>3</w:t>
            </w:r>
          </w:p>
        </w:tc>
        <w:tc>
          <w:tcPr>
            <w:tcW w:w="1215" w:type="dxa"/>
            <w:noWrap w:val="0"/>
            <w:tcMar>
              <w:top w:w="0" w:type="dxa"/>
              <w:left w:w="108" w:type="dxa"/>
              <w:bottom w:w="0" w:type="dxa"/>
              <w:right w:w="108" w:type="dxa"/>
            </w:tcMar>
            <w:vAlign w:val="center"/>
          </w:tcPr>
          <w:p w14:paraId="0E7D8567">
            <w:pPr>
              <w:pBdr>
                <w:top w:val="none" w:color="000000" w:sz="0" w:space="0"/>
                <w:left w:val="none" w:color="000000" w:sz="0" w:space="0"/>
                <w:bottom w:val="none" w:color="000000" w:sz="0" w:space="0"/>
                <w:right w:val="none" w:color="000000" w:sz="0" w:space="0"/>
              </w:pBdr>
              <w:jc w:val="center"/>
              <w:rPr>
                <w:rFonts w:hint="eastAsia" w:ascii="仿宋" w:hAnsi="仿宋" w:eastAsia="仿宋" w:cs="仿宋"/>
                <w:color w:val="000000"/>
              </w:rPr>
            </w:pPr>
            <w:r>
              <w:rPr>
                <w:rFonts w:hint="eastAsia" w:ascii="仿宋" w:hAnsi="仿宋" w:eastAsia="仿宋" w:cs="仿宋"/>
                <w:color w:val="000000"/>
              </w:rPr>
              <w:t>商务分</w:t>
            </w:r>
          </w:p>
        </w:tc>
        <w:tc>
          <w:tcPr>
            <w:tcW w:w="825" w:type="dxa"/>
            <w:noWrap w:val="0"/>
            <w:tcMar>
              <w:top w:w="0" w:type="dxa"/>
              <w:left w:w="108" w:type="dxa"/>
              <w:bottom w:w="0" w:type="dxa"/>
              <w:right w:w="108" w:type="dxa"/>
            </w:tcMar>
            <w:vAlign w:val="center"/>
          </w:tcPr>
          <w:p w14:paraId="470C8C95">
            <w:pPr>
              <w:pBdr>
                <w:top w:val="none" w:color="000000" w:sz="0" w:space="0"/>
                <w:left w:val="none" w:color="000000" w:sz="0" w:space="0"/>
                <w:bottom w:val="none" w:color="000000" w:sz="0" w:space="0"/>
                <w:right w:val="none" w:color="000000" w:sz="0" w:space="0"/>
              </w:pBdr>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30</w:t>
            </w:r>
          </w:p>
        </w:tc>
        <w:tc>
          <w:tcPr>
            <w:tcW w:w="3255" w:type="dxa"/>
            <w:noWrap w:val="0"/>
            <w:tcMar>
              <w:top w:w="0" w:type="dxa"/>
              <w:left w:w="108" w:type="dxa"/>
              <w:bottom w:w="0" w:type="dxa"/>
              <w:right w:w="108" w:type="dxa"/>
            </w:tcMar>
            <w:vAlign w:val="center"/>
          </w:tcPr>
          <w:p w14:paraId="2F80BBE5">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r>
              <w:rPr>
                <w:rFonts w:hint="eastAsia" w:ascii="仿宋" w:hAnsi="仿宋" w:eastAsia="仿宋" w:cs="仿宋"/>
                <w:color w:val="000000"/>
              </w:rPr>
              <w:t> </w:t>
            </w:r>
          </w:p>
        </w:tc>
        <w:tc>
          <w:tcPr>
            <w:tcW w:w="1020" w:type="dxa"/>
            <w:noWrap w:val="0"/>
            <w:tcMar>
              <w:top w:w="0" w:type="dxa"/>
              <w:left w:w="108" w:type="dxa"/>
              <w:bottom w:w="0" w:type="dxa"/>
              <w:right w:w="108" w:type="dxa"/>
            </w:tcMar>
            <w:vAlign w:val="center"/>
          </w:tcPr>
          <w:p w14:paraId="29C7199F">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30</w:t>
            </w:r>
          </w:p>
        </w:tc>
        <w:tc>
          <w:tcPr>
            <w:tcW w:w="1410" w:type="dxa"/>
            <w:noWrap w:val="0"/>
            <w:tcMar>
              <w:top w:w="0" w:type="dxa"/>
              <w:left w:w="108" w:type="dxa"/>
              <w:bottom w:w="0" w:type="dxa"/>
              <w:right w:w="108" w:type="dxa"/>
            </w:tcMar>
            <w:vAlign w:val="center"/>
          </w:tcPr>
          <w:p w14:paraId="5B8F2004">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p>
        </w:tc>
      </w:tr>
      <w:tr w14:paraId="7BA0C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trPr>
        <w:tc>
          <w:tcPr>
            <w:tcW w:w="674" w:type="dxa"/>
            <w:noWrap w:val="0"/>
            <w:tcMar>
              <w:top w:w="0" w:type="dxa"/>
              <w:left w:w="108" w:type="dxa"/>
              <w:bottom w:w="0" w:type="dxa"/>
              <w:right w:w="108" w:type="dxa"/>
            </w:tcMar>
            <w:vAlign w:val="center"/>
          </w:tcPr>
          <w:p w14:paraId="40837160">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3.1</w:t>
            </w:r>
          </w:p>
        </w:tc>
        <w:tc>
          <w:tcPr>
            <w:tcW w:w="1215" w:type="dxa"/>
            <w:noWrap w:val="0"/>
            <w:tcMar>
              <w:top w:w="0" w:type="dxa"/>
              <w:left w:w="108" w:type="dxa"/>
              <w:bottom w:w="0" w:type="dxa"/>
              <w:right w:w="108" w:type="dxa"/>
            </w:tcMar>
            <w:vAlign w:val="center"/>
          </w:tcPr>
          <w:p w14:paraId="3D09B348">
            <w:pPr>
              <w:tabs>
                <w:tab w:val="left" w:pos="1200"/>
              </w:tabs>
              <w:spacing w:line="320" w:lineRule="exact"/>
              <w:jc w:val="center"/>
              <w:rPr>
                <w:rFonts w:hint="eastAsia" w:ascii="仿宋" w:hAnsi="仿宋" w:eastAsia="仿宋" w:cs="仿宋"/>
                <w:color w:val="000000"/>
              </w:rPr>
            </w:pPr>
            <w:r>
              <w:rPr>
                <w:rFonts w:hint="eastAsia" w:ascii="仿宋" w:hAnsi="仿宋" w:eastAsia="仿宋" w:cs="仿宋"/>
                <w:color w:val="000000"/>
              </w:rPr>
              <w:t>类似业绩</w:t>
            </w:r>
          </w:p>
        </w:tc>
        <w:tc>
          <w:tcPr>
            <w:tcW w:w="825" w:type="dxa"/>
            <w:noWrap w:val="0"/>
            <w:tcMar>
              <w:top w:w="0" w:type="dxa"/>
              <w:left w:w="108" w:type="dxa"/>
              <w:bottom w:w="0" w:type="dxa"/>
              <w:right w:w="108" w:type="dxa"/>
            </w:tcMar>
            <w:vAlign w:val="center"/>
          </w:tcPr>
          <w:p w14:paraId="2D08D3F0">
            <w:pPr>
              <w:tabs>
                <w:tab w:val="left" w:pos="1200"/>
              </w:tabs>
              <w:spacing w:line="320" w:lineRule="exact"/>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9</w:t>
            </w:r>
          </w:p>
        </w:tc>
        <w:tc>
          <w:tcPr>
            <w:tcW w:w="3255" w:type="dxa"/>
            <w:noWrap w:val="0"/>
            <w:tcMar>
              <w:top w:w="0" w:type="dxa"/>
              <w:left w:w="108" w:type="dxa"/>
              <w:bottom w:w="0" w:type="dxa"/>
              <w:right w:w="108" w:type="dxa"/>
            </w:tcMar>
            <w:vAlign w:val="center"/>
          </w:tcPr>
          <w:p w14:paraId="2017D066">
            <w:pPr>
              <w:pBdr>
                <w:top w:val="none" w:color="000000" w:sz="0" w:space="0"/>
                <w:left w:val="none" w:color="000000" w:sz="0" w:space="0"/>
                <w:bottom w:val="none" w:color="000000" w:sz="0" w:space="0"/>
                <w:right w:val="none" w:color="000000" w:sz="0" w:space="0"/>
              </w:pBdr>
              <w:spacing w:line="300" w:lineRule="exact"/>
              <w:rPr>
                <w:rFonts w:hint="eastAsia" w:ascii="仿宋" w:hAnsi="仿宋" w:eastAsia="仿宋" w:cs="仿宋"/>
                <w:color w:val="000000"/>
              </w:rPr>
            </w:pPr>
            <w:r>
              <w:rPr>
                <w:rFonts w:hint="eastAsia" w:ascii="仿宋" w:hAnsi="仿宋" w:eastAsia="仿宋" w:cs="仿宋"/>
                <w:color w:val="000000"/>
              </w:rPr>
              <w:t>供应商自2022年1月1日以来承担过类似网络信息监测项目业绩的，每有一个得</w:t>
            </w:r>
            <w:r>
              <w:rPr>
                <w:rFonts w:hint="eastAsia" w:ascii="仿宋" w:hAnsi="仿宋" w:eastAsia="仿宋" w:cs="仿宋"/>
                <w:color w:val="000000"/>
                <w:lang w:val="en-US" w:eastAsia="zh-CN"/>
              </w:rPr>
              <w:t>3</w:t>
            </w:r>
            <w:r>
              <w:rPr>
                <w:rFonts w:hint="eastAsia" w:ascii="仿宋" w:hAnsi="仿宋" w:eastAsia="仿宋" w:cs="仿宋"/>
                <w:color w:val="000000"/>
              </w:rPr>
              <w:t>分，本项最高得</w:t>
            </w:r>
            <w:r>
              <w:rPr>
                <w:rFonts w:hint="eastAsia" w:ascii="仿宋" w:hAnsi="仿宋" w:eastAsia="仿宋" w:cs="仿宋"/>
                <w:color w:val="000000"/>
                <w:lang w:val="en-US" w:eastAsia="zh-CN"/>
              </w:rPr>
              <w:t>9</w:t>
            </w:r>
            <w:r>
              <w:rPr>
                <w:rFonts w:hint="eastAsia" w:ascii="仿宋" w:hAnsi="仿宋" w:eastAsia="仿宋" w:cs="仿宋"/>
                <w:color w:val="000000"/>
              </w:rPr>
              <w:t>分。</w:t>
            </w:r>
          </w:p>
          <w:p w14:paraId="0FB2AD72">
            <w:pPr>
              <w:pBdr>
                <w:top w:val="none" w:color="000000" w:sz="0" w:space="0"/>
                <w:left w:val="none" w:color="000000" w:sz="0" w:space="0"/>
                <w:bottom w:val="none" w:color="000000" w:sz="0" w:space="0"/>
                <w:right w:val="none" w:color="000000" w:sz="0" w:space="0"/>
              </w:pBdr>
              <w:spacing w:line="300" w:lineRule="exact"/>
              <w:rPr>
                <w:rFonts w:ascii="仿宋" w:hAnsi="仿宋" w:eastAsia="仿宋" w:cs="仿宋"/>
                <w:color w:val="000000"/>
              </w:rPr>
            </w:pPr>
            <w:r>
              <w:rPr>
                <w:rFonts w:hint="eastAsia" w:ascii="仿宋" w:hAnsi="仿宋" w:eastAsia="仿宋" w:cs="仿宋"/>
                <w:color w:val="000000"/>
              </w:rPr>
              <w:t>注：同一采购单位相同内容的合同或同一项目不同年度的合同均不重复计分。</w:t>
            </w:r>
            <w:r>
              <w:rPr>
                <w:rFonts w:ascii="仿宋" w:hAnsi="仿宋" w:eastAsia="仿宋" w:cs="仿宋"/>
                <w:color w:val="000000"/>
              </w:rPr>
              <w:t>时间以合同签订时间为准，内容以合同所载明的为准。提供合同复印件，未提供或未按要求提供证明材料的不得分。</w:t>
            </w:r>
          </w:p>
        </w:tc>
        <w:tc>
          <w:tcPr>
            <w:tcW w:w="1020" w:type="dxa"/>
            <w:noWrap w:val="0"/>
            <w:tcMar>
              <w:top w:w="0" w:type="dxa"/>
              <w:left w:w="108" w:type="dxa"/>
              <w:bottom w:w="0" w:type="dxa"/>
              <w:right w:w="108" w:type="dxa"/>
            </w:tcMar>
            <w:vAlign w:val="center"/>
          </w:tcPr>
          <w:p w14:paraId="41472F5E">
            <w:pPr>
              <w:spacing w:line="240" w:lineRule="exact"/>
              <w:jc w:val="center"/>
              <w:rPr>
                <w:rFonts w:hint="eastAsia" w:ascii="仿宋" w:hAnsi="仿宋" w:eastAsia="仿宋" w:cs="仿宋"/>
                <w:color w:val="000000"/>
                <w:lang w:eastAsia="zh-CN"/>
              </w:rPr>
            </w:pPr>
            <w:r>
              <w:rPr>
                <w:rFonts w:hint="eastAsia" w:ascii="仿宋" w:hAnsi="仿宋" w:eastAsia="仿宋" w:cs="仿宋"/>
                <w:color w:val="000000"/>
                <w:lang w:val="en-US" w:eastAsia="zh-CN"/>
              </w:rPr>
              <w:t>9</w:t>
            </w:r>
          </w:p>
        </w:tc>
        <w:tc>
          <w:tcPr>
            <w:tcW w:w="1410" w:type="dxa"/>
            <w:noWrap w:val="0"/>
            <w:tcMar>
              <w:top w:w="0" w:type="dxa"/>
              <w:left w:w="108" w:type="dxa"/>
              <w:bottom w:w="0" w:type="dxa"/>
              <w:right w:w="108" w:type="dxa"/>
            </w:tcMar>
            <w:vAlign w:val="center"/>
          </w:tcPr>
          <w:p w14:paraId="67B2C070">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5C67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674" w:type="dxa"/>
            <w:noWrap w:val="0"/>
            <w:tcMar>
              <w:top w:w="0" w:type="dxa"/>
              <w:left w:w="108" w:type="dxa"/>
              <w:bottom w:w="0" w:type="dxa"/>
              <w:right w:w="108" w:type="dxa"/>
            </w:tcMar>
            <w:vAlign w:val="center"/>
          </w:tcPr>
          <w:p w14:paraId="5443BB61">
            <w:pPr>
              <w:pBdr>
                <w:top w:val="none" w:color="000000" w:sz="0" w:space="0"/>
                <w:left w:val="none" w:color="000000" w:sz="0" w:space="0"/>
                <w:bottom w:val="none" w:color="000000" w:sz="0" w:space="0"/>
                <w:right w:val="none" w:color="000000" w:sz="0" w:space="0"/>
              </w:pBdr>
              <w:spacing w:line="320" w:lineRule="exact"/>
              <w:jc w:val="center"/>
              <w:rPr>
                <w:rFonts w:ascii="仿宋" w:hAnsi="仿宋" w:eastAsia="仿宋" w:cs="仿宋"/>
                <w:color w:val="000000"/>
                <w:shd w:val="clear" w:color="auto" w:fill="auto"/>
              </w:rPr>
            </w:pPr>
            <w:r>
              <w:rPr>
                <w:rFonts w:hint="eastAsia" w:ascii="仿宋" w:hAnsi="仿宋" w:eastAsia="仿宋" w:cs="仿宋"/>
                <w:color w:val="000000"/>
                <w:shd w:val="clear" w:color="auto" w:fill="auto"/>
              </w:rPr>
              <w:t>3.2</w:t>
            </w:r>
          </w:p>
        </w:tc>
        <w:tc>
          <w:tcPr>
            <w:tcW w:w="1215" w:type="dxa"/>
            <w:noWrap w:val="0"/>
            <w:tcMar>
              <w:top w:w="0" w:type="dxa"/>
              <w:left w:w="108" w:type="dxa"/>
              <w:bottom w:w="0" w:type="dxa"/>
              <w:right w:w="108" w:type="dxa"/>
            </w:tcMar>
            <w:vAlign w:val="center"/>
          </w:tcPr>
          <w:p w14:paraId="375A04CC">
            <w:pPr>
              <w:pBdr>
                <w:top w:val="none" w:color="000000" w:sz="0" w:space="0"/>
                <w:left w:val="none" w:color="000000" w:sz="0" w:space="0"/>
                <w:bottom w:val="none" w:color="000000" w:sz="0" w:space="0"/>
                <w:right w:val="none" w:color="000000" w:sz="0" w:space="0"/>
              </w:pBdr>
              <w:spacing w:line="300" w:lineRule="exact"/>
              <w:jc w:val="center"/>
              <w:rPr>
                <w:rFonts w:hint="eastAsia" w:ascii="仿宋" w:hAnsi="仿宋" w:eastAsia="仿宋" w:cs="仿宋"/>
                <w:color w:val="000000"/>
                <w:shd w:val="clear" w:color="auto" w:fill="auto"/>
              </w:rPr>
            </w:pPr>
            <w:r>
              <w:rPr>
                <w:rFonts w:hint="eastAsia" w:ascii="仿宋" w:hAnsi="仿宋" w:eastAsia="仿宋" w:cs="仿宋"/>
                <w:color w:val="000000"/>
                <w:shd w:val="clear" w:color="auto" w:fill="auto"/>
              </w:rPr>
              <w:t>服务能力</w:t>
            </w:r>
          </w:p>
        </w:tc>
        <w:tc>
          <w:tcPr>
            <w:tcW w:w="825" w:type="dxa"/>
            <w:noWrap w:val="0"/>
            <w:tcMar>
              <w:top w:w="0" w:type="dxa"/>
              <w:left w:w="108" w:type="dxa"/>
              <w:bottom w:w="0" w:type="dxa"/>
              <w:right w:w="108" w:type="dxa"/>
            </w:tcMar>
            <w:vAlign w:val="center"/>
          </w:tcPr>
          <w:p w14:paraId="14DEB438">
            <w:pPr>
              <w:pBdr>
                <w:top w:val="none" w:color="000000" w:sz="0" w:space="0"/>
                <w:left w:val="none" w:color="000000" w:sz="0" w:space="0"/>
                <w:bottom w:val="none" w:color="000000" w:sz="0" w:space="0"/>
                <w:right w:val="none" w:color="000000" w:sz="0" w:space="0"/>
              </w:pBdr>
              <w:spacing w:line="300" w:lineRule="exact"/>
              <w:jc w:val="center"/>
              <w:rPr>
                <w:rFonts w:hint="eastAsia"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val="en-US" w:eastAsia="zh-CN"/>
              </w:rPr>
              <w:t>4</w:t>
            </w:r>
          </w:p>
        </w:tc>
        <w:tc>
          <w:tcPr>
            <w:tcW w:w="3255" w:type="dxa"/>
            <w:noWrap w:val="0"/>
            <w:tcMar>
              <w:top w:w="0" w:type="dxa"/>
              <w:left w:w="108" w:type="dxa"/>
              <w:bottom w:w="0" w:type="dxa"/>
              <w:right w:w="108" w:type="dxa"/>
            </w:tcMar>
            <w:vAlign w:val="center"/>
          </w:tcPr>
          <w:p w14:paraId="315F54D0">
            <w:pPr>
              <w:pBdr>
                <w:top w:val="none" w:color="000000" w:sz="0" w:space="0"/>
                <w:left w:val="none" w:color="000000" w:sz="0" w:space="0"/>
                <w:bottom w:val="none" w:color="000000" w:sz="0" w:space="0"/>
                <w:right w:val="none" w:color="000000" w:sz="0" w:space="0"/>
              </w:pBdr>
              <w:spacing w:line="300" w:lineRule="exact"/>
              <w:rPr>
                <w:rFonts w:hint="default"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eastAsia="zh-CN"/>
              </w:rPr>
              <w:t>项目专用风险信息分析软件不少于</w:t>
            </w:r>
            <w:r>
              <w:rPr>
                <w:rFonts w:hint="eastAsia" w:ascii="仿宋" w:hAnsi="仿宋" w:eastAsia="仿宋" w:cs="仿宋"/>
                <w:color w:val="000000"/>
                <w:shd w:val="clear" w:color="auto" w:fill="auto"/>
                <w:lang w:val="en-US" w:eastAsia="zh-CN"/>
              </w:rPr>
              <w:t>2套。2套（含）以上的得4分，不足2套的不得分。</w:t>
            </w:r>
          </w:p>
        </w:tc>
        <w:tc>
          <w:tcPr>
            <w:tcW w:w="1020" w:type="dxa"/>
            <w:noWrap w:val="0"/>
            <w:tcMar>
              <w:top w:w="0" w:type="dxa"/>
              <w:left w:w="108" w:type="dxa"/>
              <w:bottom w:w="0" w:type="dxa"/>
              <w:right w:w="108" w:type="dxa"/>
            </w:tcMar>
            <w:vAlign w:val="center"/>
          </w:tcPr>
          <w:p w14:paraId="4AF924A9">
            <w:pPr>
              <w:spacing w:line="240" w:lineRule="exact"/>
              <w:jc w:val="center"/>
              <w:rPr>
                <w:rFonts w:hint="eastAsia" w:ascii="仿宋" w:hAnsi="仿宋" w:eastAsia="仿宋" w:cs="仿宋"/>
                <w:color w:val="000000"/>
                <w:shd w:val="clear" w:color="auto" w:fill="auto"/>
                <w:lang w:val="en-US" w:eastAsia="zh-CN"/>
              </w:rPr>
            </w:pPr>
            <w:r>
              <w:rPr>
                <w:rFonts w:hint="eastAsia" w:ascii="仿宋" w:hAnsi="仿宋" w:eastAsia="仿宋" w:cs="仿宋"/>
                <w:color w:val="000000"/>
                <w:shd w:val="clear" w:color="auto" w:fill="auto"/>
                <w:lang w:val="en-US" w:eastAsia="zh-CN"/>
              </w:rPr>
              <w:t>4</w:t>
            </w:r>
          </w:p>
        </w:tc>
        <w:tc>
          <w:tcPr>
            <w:tcW w:w="1410" w:type="dxa"/>
            <w:noWrap w:val="0"/>
            <w:tcMar>
              <w:top w:w="0" w:type="dxa"/>
              <w:left w:w="108" w:type="dxa"/>
              <w:bottom w:w="0" w:type="dxa"/>
              <w:right w:w="108" w:type="dxa"/>
            </w:tcMar>
            <w:vAlign w:val="center"/>
          </w:tcPr>
          <w:p w14:paraId="25CB2A4D">
            <w:pPr>
              <w:spacing w:line="240" w:lineRule="exact"/>
              <w:jc w:val="center"/>
              <w:rPr>
                <w:rFonts w:hint="eastAsia" w:ascii="仿宋" w:hAnsi="仿宋" w:eastAsia="仿宋" w:cs="仿宋"/>
                <w:color w:val="000000"/>
                <w:shd w:val="clear" w:color="auto" w:fill="auto"/>
              </w:rPr>
            </w:pPr>
            <w:r>
              <w:rPr>
                <w:rFonts w:hint="eastAsia" w:ascii="仿宋" w:hAnsi="仿宋" w:eastAsia="仿宋" w:cs="仿宋"/>
                <w:color w:val="000000"/>
                <w:shd w:val="clear" w:color="auto" w:fill="auto"/>
              </w:rPr>
              <w:t>是</w:t>
            </w:r>
          </w:p>
        </w:tc>
      </w:tr>
      <w:tr w14:paraId="7E83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trPr>
        <w:tc>
          <w:tcPr>
            <w:tcW w:w="674" w:type="dxa"/>
            <w:noWrap w:val="0"/>
            <w:tcMar>
              <w:top w:w="0" w:type="dxa"/>
              <w:left w:w="108" w:type="dxa"/>
              <w:bottom w:w="0" w:type="dxa"/>
              <w:right w:w="108" w:type="dxa"/>
            </w:tcMar>
            <w:vAlign w:val="center"/>
          </w:tcPr>
          <w:p w14:paraId="4449032C">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3.4</w:t>
            </w:r>
          </w:p>
        </w:tc>
        <w:tc>
          <w:tcPr>
            <w:tcW w:w="1215" w:type="dxa"/>
            <w:noWrap w:val="0"/>
            <w:tcMar>
              <w:top w:w="0" w:type="dxa"/>
              <w:left w:w="108" w:type="dxa"/>
              <w:bottom w:w="0" w:type="dxa"/>
              <w:right w:w="108" w:type="dxa"/>
            </w:tcMar>
            <w:vAlign w:val="center"/>
          </w:tcPr>
          <w:p w14:paraId="195BABAD">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项目负责人</w:t>
            </w:r>
          </w:p>
        </w:tc>
        <w:tc>
          <w:tcPr>
            <w:tcW w:w="825" w:type="dxa"/>
            <w:noWrap w:val="0"/>
            <w:tcMar>
              <w:top w:w="0" w:type="dxa"/>
              <w:left w:w="108" w:type="dxa"/>
              <w:bottom w:w="0" w:type="dxa"/>
              <w:right w:w="108" w:type="dxa"/>
            </w:tcMar>
            <w:vAlign w:val="center"/>
          </w:tcPr>
          <w:p w14:paraId="25797022">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3255" w:type="dxa"/>
            <w:noWrap w:val="0"/>
            <w:tcMar>
              <w:top w:w="0" w:type="dxa"/>
              <w:left w:w="108" w:type="dxa"/>
              <w:bottom w:w="0" w:type="dxa"/>
              <w:right w:w="108" w:type="dxa"/>
            </w:tcMar>
            <w:vAlign w:val="center"/>
          </w:tcPr>
          <w:p w14:paraId="027020B0">
            <w:pPr>
              <w:pStyle w:val="26"/>
              <w:spacing w:line="300" w:lineRule="exact"/>
              <w:rPr>
                <w:rFonts w:hint="default" w:ascii="仿宋" w:hAnsi="仿宋" w:eastAsia="仿宋" w:cs="仿宋"/>
                <w:color w:val="000000"/>
                <w:kern w:val="2"/>
                <w:sz w:val="21"/>
                <w:szCs w:val="21"/>
                <w:lang w:val="en-US" w:eastAsia="zh-CN" w:bidi="ar-SA"/>
              </w:rPr>
            </w:pPr>
            <w:r>
              <w:rPr>
                <w:rFonts w:hint="eastAsia" w:ascii="仿宋" w:hAnsi="仿宋" w:eastAsia="仿宋" w:cs="仿宋"/>
                <w:sz w:val="21"/>
                <w:szCs w:val="21"/>
                <w:lang w:val="en-US" w:eastAsia="zh-CN"/>
              </w:rPr>
              <w:t>2022年1月1日至今，</w:t>
            </w:r>
            <w:r>
              <w:rPr>
                <w:rFonts w:ascii="仿宋" w:hAnsi="仿宋" w:eastAsia="仿宋" w:cs="仿宋"/>
                <w:sz w:val="21"/>
                <w:szCs w:val="21"/>
              </w:rPr>
              <w:t>具有</w:t>
            </w:r>
            <w:r>
              <w:rPr>
                <w:rFonts w:hint="eastAsia" w:ascii="仿宋" w:hAnsi="仿宋" w:eastAsia="仿宋" w:cs="仿宋"/>
                <w:sz w:val="21"/>
                <w:szCs w:val="21"/>
              </w:rPr>
              <w:t>不少于</w:t>
            </w:r>
            <w:r>
              <w:rPr>
                <w:rFonts w:hint="eastAsia" w:ascii="仿宋" w:hAnsi="仿宋" w:eastAsia="仿宋" w:cs="仿宋"/>
                <w:sz w:val="21"/>
                <w:szCs w:val="21"/>
                <w:lang w:val="en-US" w:eastAsia="zh-CN"/>
              </w:rPr>
              <w:t>6</w:t>
            </w:r>
            <w:r>
              <w:rPr>
                <w:rFonts w:hint="eastAsia" w:ascii="仿宋" w:hAnsi="仿宋" w:eastAsia="仿宋" w:cs="仿宋"/>
                <w:sz w:val="21"/>
                <w:szCs w:val="21"/>
              </w:rPr>
              <w:t>个此类项目参与经验和不少于</w:t>
            </w:r>
            <w:r>
              <w:rPr>
                <w:rFonts w:hint="eastAsia" w:ascii="仿宋" w:hAnsi="仿宋" w:eastAsia="仿宋" w:cs="仿宋"/>
                <w:sz w:val="21"/>
                <w:szCs w:val="21"/>
                <w:lang w:val="en-US" w:eastAsia="zh-CN"/>
              </w:rPr>
              <w:t>3</w:t>
            </w:r>
            <w:r>
              <w:rPr>
                <w:rFonts w:hint="eastAsia" w:ascii="仿宋" w:hAnsi="仿宋" w:eastAsia="仿宋" w:cs="仿宋"/>
                <w:sz w:val="21"/>
                <w:szCs w:val="21"/>
              </w:rPr>
              <w:t>个此类项目负责经验。应为供应商常聘工作人</w:t>
            </w:r>
            <w:r>
              <w:rPr>
                <w:rFonts w:hint="eastAsia" w:ascii="仿宋" w:hAnsi="仿宋" w:eastAsia="仿宋" w:cs="仿宋"/>
                <w:color w:val="000000"/>
                <w:kern w:val="2"/>
                <w:sz w:val="21"/>
                <w:szCs w:val="21"/>
                <w:lang w:val="en-US" w:eastAsia="zh-CN" w:bidi="ar-SA"/>
              </w:rPr>
              <w:t>员，具备五年（含）以上网络信息监测工作经验，并提供服务保密承诺函（加盖供应商公章）。同时满足以上要求得6分。</w:t>
            </w:r>
          </w:p>
          <w:p w14:paraId="6F3F8C10">
            <w:pPr>
              <w:rPr>
                <w:color w:val="000000"/>
              </w:rPr>
            </w:pPr>
            <w:r>
              <w:rPr>
                <w:rFonts w:ascii="仿宋" w:hAnsi="仿宋" w:eastAsia="仿宋" w:cs="仿宋"/>
                <w:color w:val="000000"/>
                <w:kern w:val="2"/>
                <w:sz w:val="21"/>
                <w:szCs w:val="21"/>
                <w:lang w:val="en-US" w:eastAsia="zh-CN" w:bidi="ar-SA"/>
              </w:rPr>
              <w:t>注：</w:t>
            </w:r>
            <w:r>
              <w:rPr>
                <w:rFonts w:hint="eastAsia" w:ascii="仿宋" w:hAnsi="仿宋" w:eastAsia="仿宋" w:cs="仿宋"/>
                <w:color w:val="000000"/>
                <w:kern w:val="2"/>
                <w:sz w:val="21"/>
                <w:szCs w:val="21"/>
                <w:lang w:val="en-US" w:eastAsia="zh-CN" w:bidi="ar-SA"/>
              </w:rPr>
              <w:t>包括但不</w:t>
            </w:r>
            <w:r>
              <w:rPr>
                <w:rFonts w:hint="eastAsia" w:ascii="仿宋" w:hAnsi="仿宋" w:eastAsia="仿宋" w:cs="仿宋"/>
                <w:color w:val="000000"/>
              </w:rPr>
              <w:t>限于</w:t>
            </w:r>
            <w:r>
              <w:rPr>
                <w:rFonts w:ascii="仿宋" w:hAnsi="仿宋" w:eastAsia="仿宋" w:cs="仿宋"/>
                <w:color w:val="000000"/>
              </w:rPr>
              <w:t>社保证明材料复印件</w:t>
            </w:r>
            <w:r>
              <w:rPr>
                <w:rFonts w:hint="eastAsia" w:ascii="仿宋" w:hAnsi="仿宋" w:eastAsia="仿宋" w:cs="仿宋"/>
                <w:color w:val="000000"/>
              </w:rPr>
              <w:t>等，</w:t>
            </w:r>
            <w:r>
              <w:rPr>
                <w:rFonts w:ascii="仿宋" w:hAnsi="仿宋" w:eastAsia="仿宋" w:cs="仿宋"/>
                <w:color w:val="000000"/>
              </w:rPr>
              <w:t>未提供或未按要求提供证明材料的不得分。</w:t>
            </w:r>
          </w:p>
        </w:tc>
        <w:tc>
          <w:tcPr>
            <w:tcW w:w="1020" w:type="dxa"/>
            <w:noWrap w:val="0"/>
            <w:tcMar>
              <w:top w:w="0" w:type="dxa"/>
              <w:left w:w="108" w:type="dxa"/>
              <w:bottom w:w="0" w:type="dxa"/>
              <w:right w:w="108" w:type="dxa"/>
            </w:tcMar>
            <w:vAlign w:val="center"/>
          </w:tcPr>
          <w:p w14:paraId="67BDCAD0">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1410" w:type="dxa"/>
            <w:noWrap w:val="0"/>
            <w:tcMar>
              <w:top w:w="0" w:type="dxa"/>
              <w:left w:w="108" w:type="dxa"/>
              <w:bottom w:w="0" w:type="dxa"/>
              <w:right w:w="108" w:type="dxa"/>
            </w:tcMar>
            <w:vAlign w:val="center"/>
          </w:tcPr>
          <w:p w14:paraId="3638BBAD">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754E3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atLeast"/>
        </w:trPr>
        <w:tc>
          <w:tcPr>
            <w:tcW w:w="674" w:type="dxa"/>
            <w:noWrap w:val="0"/>
            <w:tcMar>
              <w:top w:w="0" w:type="dxa"/>
              <w:left w:w="108" w:type="dxa"/>
              <w:bottom w:w="0" w:type="dxa"/>
              <w:right w:w="108" w:type="dxa"/>
            </w:tcMar>
            <w:vAlign w:val="center"/>
          </w:tcPr>
          <w:p w14:paraId="09E29FA9">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3.5</w:t>
            </w:r>
          </w:p>
        </w:tc>
        <w:tc>
          <w:tcPr>
            <w:tcW w:w="1215" w:type="dxa"/>
            <w:noWrap w:val="0"/>
            <w:tcMar>
              <w:top w:w="0" w:type="dxa"/>
              <w:left w:w="108" w:type="dxa"/>
              <w:bottom w:w="0" w:type="dxa"/>
              <w:right w:w="108" w:type="dxa"/>
            </w:tcMar>
            <w:vAlign w:val="center"/>
          </w:tcPr>
          <w:p w14:paraId="3980275F">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项目组成员</w:t>
            </w:r>
          </w:p>
        </w:tc>
        <w:tc>
          <w:tcPr>
            <w:tcW w:w="825" w:type="dxa"/>
            <w:noWrap w:val="0"/>
            <w:tcMar>
              <w:top w:w="0" w:type="dxa"/>
              <w:left w:w="108" w:type="dxa"/>
              <w:bottom w:w="0" w:type="dxa"/>
              <w:right w:w="108" w:type="dxa"/>
            </w:tcMar>
            <w:vAlign w:val="center"/>
          </w:tcPr>
          <w:p w14:paraId="57C87EAA">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3255" w:type="dxa"/>
            <w:noWrap w:val="0"/>
            <w:tcMar>
              <w:top w:w="0" w:type="dxa"/>
              <w:left w:w="108" w:type="dxa"/>
              <w:bottom w:w="0" w:type="dxa"/>
              <w:right w:w="108" w:type="dxa"/>
            </w:tcMar>
            <w:vAlign w:val="center"/>
          </w:tcPr>
          <w:p w14:paraId="49B448A8">
            <w:pPr>
              <w:pStyle w:val="26"/>
              <w:spacing w:line="300" w:lineRule="exact"/>
              <w:rPr>
                <w:rFonts w:hint="eastAsia" w:ascii="仿宋" w:hAnsi="仿宋" w:eastAsia="仿宋" w:cs="仿宋"/>
                <w:sz w:val="21"/>
                <w:szCs w:val="21"/>
              </w:rPr>
            </w:pPr>
            <w:r>
              <w:rPr>
                <w:rFonts w:hint="eastAsia" w:ascii="仿宋" w:hAnsi="仿宋" w:eastAsia="仿宋" w:cs="仿宋"/>
                <w:sz w:val="21"/>
                <w:szCs w:val="21"/>
              </w:rPr>
              <w:t>项目组成员（项目负责人除外）：</w:t>
            </w:r>
          </w:p>
          <w:p w14:paraId="2EBBCEBC">
            <w:pPr>
              <w:rPr>
                <w:rFonts w:hint="eastAsia" w:eastAsia="仿宋"/>
                <w:lang w:eastAsia="zh-CN"/>
              </w:rPr>
            </w:pPr>
            <w:r>
              <w:rPr>
                <w:rFonts w:hint="eastAsia" w:ascii="仿宋" w:hAnsi="仿宋" w:eastAsia="仿宋" w:cs="仿宋"/>
                <w:color w:val="000000"/>
              </w:rPr>
              <w:t>拟派项目组成员应为供应商常聘工作人员，具备五年（含）以上网络信息监测工作经验</w:t>
            </w:r>
            <w:r>
              <w:rPr>
                <w:rFonts w:hint="eastAsia" w:ascii="仿宋" w:hAnsi="仿宋" w:eastAsia="仿宋" w:cs="仿宋"/>
                <w:color w:val="000000"/>
                <w:lang w:eastAsia="zh-CN"/>
              </w:rPr>
              <w:t>，并提供服务保密承诺函（加盖供应商公章）。</w:t>
            </w:r>
          </w:p>
          <w:p w14:paraId="77487E9F">
            <w:pPr>
              <w:pStyle w:val="26"/>
              <w:spacing w:line="300" w:lineRule="exact"/>
              <w:rPr>
                <w:rFonts w:ascii="仿宋" w:hAnsi="仿宋" w:eastAsia="仿宋" w:cs="仿宋"/>
                <w:sz w:val="21"/>
                <w:szCs w:val="21"/>
              </w:rPr>
            </w:pPr>
            <w:r>
              <w:rPr>
                <w:rFonts w:ascii="仿宋" w:hAnsi="仿宋" w:eastAsia="仿宋" w:cs="仿宋"/>
                <w:sz w:val="21"/>
                <w:szCs w:val="21"/>
              </w:rPr>
              <w:t>每提供</w:t>
            </w:r>
            <w:r>
              <w:rPr>
                <w:rFonts w:hint="eastAsia" w:ascii="仿宋" w:hAnsi="仿宋" w:eastAsia="仿宋" w:cs="仿宋"/>
                <w:sz w:val="21"/>
                <w:szCs w:val="21"/>
              </w:rPr>
              <w:t>一位工作人员</w:t>
            </w:r>
            <w:r>
              <w:rPr>
                <w:rFonts w:hint="eastAsia" w:ascii="仿宋" w:hAnsi="仿宋" w:eastAsia="仿宋" w:cs="仿宋"/>
                <w:sz w:val="21"/>
                <w:szCs w:val="21"/>
                <w:lang w:eastAsia="zh-CN"/>
              </w:rPr>
              <w:t>以上要求</w:t>
            </w:r>
            <w:r>
              <w:rPr>
                <w:rFonts w:hint="eastAsia" w:ascii="仿宋" w:hAnsi="仿宋" w:eastAsia="仿宋" w:cs="仿宋"/>
                <w:sz w:val="21"/>
                <w:szCs w:val="21"/>
              </w:rPr>
              <w:t>证明材料得</w:t>
            </w:r>
            <w:r>
              <w:rPr>
                <w:rFonts w:ascii="仿宋" w:hAnsi="仿宋" w:eastAsia="仿宋" w:cs="仿宋"/>
                <w:sz w:val="21"/>
                <w:szCs w:val="21"/>
              </w:rPr>
              <w:t>2分，本项最高得</w:t>
            </w:r>
            <w:r>
              <w:rPr>
                <w:rFonts w:hint="eastAsia" w:ascii="仿宋" w:hAnsi="仿宋" w:eastAsia="仿宋" w:cs="仿宋"/>
                <w:sz w:val="21"/>
                <w:szCs w:val="21"/>
                <w:lang w:val="en-US" w:eastAsia="zh-CN"/>
              </w:rPr>
              <w:t>6</w:t>
            </w:r>
            <w:r>
              <w:rPr>
                <w:rFonts w:ascii="仿宋" w:hAnsi="仿宋" w:eastAsia="仿宋" w:cs="仿宋"/>
                <w:sz w:val="21"/>
                <w:szCs w:val="21"/>
              </w:rPr>
              <w:t>分。</w:t>
            </w:r>
          </w:p>
          <w:p w14:paraId="1318A4AD">
            <w:pPr>
              <w:pStyle w:val="26"/>
              <w:spacing w:line="300" w:lineRule="exact"/>
            </w:pPr>
            <w:r>
              <w:rPr>
                <w:rFonts w:ascii="仿宋" w:hAnsi="仿宋" w:eastAsia="仿宋" w:cs="仿宋"/>
                <w:sz w:val="21"/>
                <w:szCs w:val="21"/>
              </w:rPr>
              <w:t>注：</w:t>
            </w:r>
            <w:r>
              <w:rPr>
                <w:rFonts w:hint="eastAsia" w:ascii="仿宋" w:hAnsi="仿宋" w:eastAsia="仿宋" w:cs="仿宋"/>
                <w:sz w:val="21"/>
                <w:szCs w:val="21"/>
              </w:rPr>
              <w:t>包括但不限于</w:t>
            </w:r>
            <w:r>
              <w:rPr>
                <w:rFonts w:ascii="仿宋" w:hAnsi="仿宋" w:eastAsia="仿宋" w:cs="仿宋"/>
                <w:sz w:val="21"/>
                <w:szCs w:val="21"/>
              </w:rPr>
              <w:t>社保证明材料复印件</w:t>
            </w:r>
            <w:r>
              <w:rPr>
                <w:rFonts w:hint="eastAsia" w:ascii="仿宋" w:hAnsi="仿宋" w:eastAsia="仿宋" w:cs="仿宋"/>
                <w:sz w:val="21"/>
                <w:szCs w:val="21"/>
              </w:rPr>
              <w:t>等，</w:t>
            </w:r>
            <w:r>
              <w:rPr>
                <w:rFonts w:ascii="仿宋" w:hAnsi="仿宋" w:eastAsia="仿宋" w:cs="仿宋"/>
                <w:sz w:val="21"/>
                <w:szCs w:val="21"/>
              </w:rPr>
              <w:t>未提供或未按要求提供证明材料的不得分。</w:t>
            </w:r>
          </w:p>
        </w:tc>
        <w:tc>
          <w:tcPr>
            <w:tcW w:w="1020" w:type="dxa"/>
            <w:noWrap w:val="0"/>
            <w:tcMar>
              <w:top w:w="0" w:type="dxa"/>
              <w:left w:w="108" w:type="dxa"/>
              <w:bottom w:w="0" w:type="dxa"/>
              <w:right w:w="108" w:type="dxa"/>
            </w:tcMar>
            <w:vAlign w:val="center"/>
          </w:tcPr>
          <w:p w14:paraId="016F9CD0">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6</w:t>
            </w:r>
          </w:p>
        </w:tc>
        <w:tc>
          <w:tcPr>
            <w:tcW w:w="1410" w:type="dxa"/>
            <w:noWrap w:val="0"/>
            <w:tcMar>
              <w:top w:w="0" w:type="dxa"/>
              <w:left w:w="108" w:type="dxa"/>
              <w:bottom w:w="0" w:type="dxa"/>
              <w:right w:w="108" w:type="dxa"/>
            </w:tcMar>
            <w:vAlign w:val="center"/>
          </w:tcPr>
          <w:p w14:paraId="5570FBEA">
            <w:pPr>
              <w:spacing w:line="240" w:lineRule="exact"/>
              <w:jc w:val="center"/>
              <w:rPr>
                <w:rFonts w:hint="eastAsia" w:ascii="仿宋" w:hAnsi="仿宋" w:eastAsia="仿宋" w:cs="仿宋"/>
                <w:color w:val="000000"/>
              </w:rPr>
            </w:pPr>
            <w:r>
              <w:rPr>
                <w:rFonts w:hint="eastAsia" w:ascii="仿宋" w:hAnsi="仿宋" w:eastAsia="仿宋" w:cs="仿宋"/>
                <w:color w:val="000000"/>
              </w:rPr>
              <w:t>是</w:t>
            </w:r>
          </w:p>
        </w:tc>
      </w:tr>
      <w:tr w14:paraId="13C91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trPr>
        <w:tc>
          <w:tcPr>
            <w:tcW w:w="674" w:type="dxa"/>
            <w:noWrap w:val="0"/>
            <w:tcMar>
              <w:top w:w="0" w:type="dxa"/>
              <w:left w:w="108" w:type="dxa"/>
              <w:bottom w:w="0" w:type="dxa"/>
              <w:right w:w="108" w:type="dxa"/>
            </w:tcMar>
            <w:vAlign w:val="center"/>
          </w:tcPr>
          <w:p w14:paraId="17E019F3">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lang w:val="en-US" w:eastAsia="zh-CN"/>
              </w:rPr>
            </w:pPr>
            <w:r>
              <w:rPr>
                <w:rFonts w:hint="eastAsia" w:ascii="仿宋" w:hAnsi="仿宋" w:eastAsia="仿宋" w:cs="仿宋"/>
                <w:color w:val="000000"/>
              </w:rPr>
              <w:t>3.</w:t>
            </w:r>
            <w:r>
              <w:rPr>
                <w:rFonts w:hint="eastAsia" w:ascii="仿宋" w:hAnsi="仿宋" w:eastAsia="仿宋" w:cs="仿宋"/>
                <w:color w:val="000000"/>
                <w:lang w:val="en-US" w:eastAsia="zh-CN"/>
              </w:rPr>
              <w:t>6</w:t>
            </w:r>
          </w:p>
        </w:tc>
        <w:tc>
          <w:tcPr>
            <w:tcW w:w="1215" w:type="dxa"/>
            <w:noWrap w:val="0"/>
            <w:tcMar>
              <w:top w:w="0" w:type="dxa"/>
              <w:left w:w="108" w:type="dxa"/>
              <w:bottom w:w="0" w:type="dxa"/>
              <w:right w:w="108" w:type="dxa"/>
            </w:tcMar>
            <w:vAlign w:val="center"/>
          </w:tcPr>
          <w:p w14:paraId="3620266B">
            <w:pPr>
              <w:pBdr>
                <w:top w:val="none" w:color="000000" w:sz="0" w:space="0"/>
                <w:left w:val="none" w:color="000000" w:sz="0" w:space="0"/>
                <w:bottom w:val="none" w:color="000000" w:sz="0" w:space="0"/>
                <w:right w:val="none" w:color="000000" w:sz="0" w:space="0"/>
              </w:pBdr>
              <w:spacing w:line="320" w:lineRule="exact"/>
              <w:jc w:val="center"/>
              <w:rPr>
                <w:rFonts w:hint="eastAsia" w:ascii="仿宋" w:hAnsi="仿宋" w:eastAsia="仿宋" w:cs="仿宋"/>
                <w:color w:val="000000"/>
              </w:rPr>
            </w:pPr>
            <w:r>
              <w:rPr>
                <w:rFonts w:hint="eastAsia" w:ascii="仿宋" w:hAnsi="仿宋" w:eastAsia="仿宋" w:cs="仿宋"/>
                <w:color w:val="000000"/>
              </w:rPr>
              <w:t>服务保障</w:t>
            </w:r>
          </w:p>
        </w:tc>
        <w:tc>
          <w:tcPr>
            <w:tcW w:w="825" w:type="dxa"/>
            <w:noWrap w:val="0"/>
            <w:tcMar>
              <w:top w:w="0" w:type="dxa"/>
              <w:left w:w="108" w:type="dxa"/>
              <w:bottom w:w="0" w:type="dxa"/>
              <w:right w:w="108" w:type="dxa"/>
            </w:tcMar>
            <w:vAlign w:val="center"/>
          </w:tcPr>
          <w:p w14:paraId="7B12956D">
            <w:pPr>
              <w:pBdr>
                <w:top w:val="none" w:color="000000" w:sz="0" w:space="0"/>
                <w:left w:val="none" w:color="000000" w:sz="0" w:space="0"/>
                <w:bottom w:val="none" w:color="000000" w:sz="0" w:space="0"/>
                <w:right w:val="none" w:color="000000" w:sz="0" w:space="0"/>
              </w:pBdr>
              <w:spacing w:line="32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w:t>
            </w:r>
          </w:p>
        </w:tc>
        <w:tc>
          <w:tcPr>
            <w:tcW w:w="3255" w:type="dxa"/>
            <w:noWrap w:val="0"/>
            <w:tcMar>
              <w:top w:w="0" w:type="dxa"/>
              <w:left w:w="108" w:type="dxa"/>
              <w:bottom w:w="0" w:type="dxa"/>
              <w:right w:w="108" w:type="dxa"/>
            </w:tcMar>
            <w:vAlign w:val="center"/>
          </w:tcPr>
          <w:p w14:paraId="540D0223">
            <w:pPr>
              <w:pStyle w:val="26"/>
              <w:spacing w:line="300" w:lineRule="exact"/>
              <w:rPr>
                <w:rFonts w:hint="eastAsia" w:ascii="仿宋" w:hAnsi="仿宋" w:eastAsia="仿宋" w:cs="仿宋"/>
                <w:sz w:val="21"/>
                <w:szCs w:val="21"/>
              </w:rPr>
            </w:pPr>
            <w:r>
              <w:rPr>
                <w:rFonts w:hint="eastAsia" w:ascii="仿宋" w:hAnsi="仿宋" w:eastAsia="仿宋" w:cs="仿宋"/>
                <w:sz w:val="21"/>
                <w:szCs w:val="21"/>
              </w:rPr>
              <w:t>供应商承诺提供免费延期增值服务（至2026年12月31日）的。</w:t>
            </w:r>
          </w:p>
          <w:p w14:paraId="4D57ECC1">
            <w:pPr>
              <w:pStyle w:val="26"/>
              <w:spacing w:line="300" w:lineRule="exact"/>
              <w:rPr>
                <w:rFonts w:ascii="仿宋" w:hAnsi="仿宋" w:eastAsia="仿宋" w:cs="仿宋"/>
                <w:sz w:val="21"/>
                <w:szCs w:val="21"/>
              </w:rPr>
            </w:pPr>
            <w:r>
              <w:rPr>
                <w:rFonts w:hint="eastAsia" w:ascii="仿宋" w:hAnsi="仿宋" w:eastAsia="仿宋" w:cs="仿宋"/>
                <w:sz w:val="21"/>
                <w:szCs w:val="21"/>
              </w:rPr>
              <w:t xml:space="preserve">注：提供承诺函，格式自拟，未按要求提供或不提供的不得分。 </w:t>
            </w:r>
          </w:p>
        </w:tc>
        <w:tc>
          <w:tcPr>
            <w:tcW w:w="1020" w:type="dxa"/>
            <w:noWrap w:val="0"/>
            <w:tcMar>
              <w:top w:w="0" w:type="dxa"/>
              <w:left w:w="108" w:type="dxa"/>
              <w:bottom w:w="0" w:type="dxa"/>
              <w:right w:w="108" w:type="dxa"/>
            </w:tcMar>
            <w:vAlign w:val="center"/>
          </w:tcPr>
          <w:p w14:paraId="6392DB59">
            <w:pPr>
              <w:spacing w:line="240" w:lineRule="exact"/>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5</w:t>
            </w:r>
          </w:p>
        </w:tc>
        <w:tc>
          <w:tcPr>
            <w:tcW w:w="1410" w:type="dxa"/>
            <w:noWrap w:val="0"/>
            <w:tcMar>
              <w:top w:w="0" w:type="dxa"/>
              <w:left w:w="108" w:type="dxa"/>
              <w:bottom w:w="0" w:type="dxa"/>
              <w:right w:w="108" w:type="dxa"/>
            </w:tcMar>
            <w:vAlign w:val="center"/>
          </w:tcPr>
          <w:p w14:paraId="541C4519">
            <w:pPr>
              <w:spacing w:line="240" w:lineRule="exact"/>
              <w:jc w:val="center"/>
              <w:rPr>
                <w:rFonts w:ascii="仿宋" w:hAnsi="仿宋" w:eastAsia="仿宋" w:cs="仿宋"/>
                <w:color w:val="000000"/>
              </w:rPr>
            </w:pPr>
            <w:r>
              <w:rPr>
                <w:rFonts w:hint="eastAsia" w:ascii="仿宋" w:hAnsi="仿宋" w:eastAsia="仿宋" w:cs="仿宋"/>
                <w:color w:val="000000"/>
              </w:rPr>
              <w:t>是</w:t>
            </w:r>
          </w:p>
        </w:tc>
      </w:tr>
      <w:tr w14:paraId="2356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889" w:type="dxa"/>
            <w:gridSpan w:val="2"/>
            <w:noWrap w:val="0"/>
            <w:tcMar>
              <w:top w:w="0" w:type="dxa"/>
              <w:left w:w="108" w:type="dxa"/>
              <w:bottom w:w="0" w:type="dxa"/>
              <w:right w:w="108" w:type="dxa"/>
            </w:tcMar>
            <w:vAlign w:val="center"/>
          </w:tcPr>
          <w:p w14:paraId="4ED6107D">
            <w:pPr>
              <w:pBdr>
                <w:top w:val="none" w:color="000000" w:sz="0" w:space="0"/>
                <w:left w:val="none" w:color="000000" w:sz="0" w:space="0"/>
                <w:bottom w:val="none" w:color="000000" w:sz="0" w:space="0"/>
                <w:right w:val="none" w:color="000000" w:sz="0" w:space="0"/>
              </w:pBdr>
              <w:spacing w:line="360" w:lineRule="atLeast"/>
              <w:jc w:val="center"/>
              <w:rPr>
                <w:rFonts w:hint="eastAsia" w:ascii="仿宋" w:hAnsi="仿宋" w:eastAsia="仿宋" w:cs="仿宋"/>
                <w:color w:val="000000"/>
              </w:rPr>
            </w:pPr>
            <w:r>
              <w:rPr>
                <w:rFonts w:hint="eastAsia" w:ascii="仿宋" w:hAnsi="仿宋" w:eastAsia="仿宋" w:cs="仿宋"/>
                <w:color w:val="000000"/>
              </w:rPr>
              <w:t>合计</w:t>
            </w:r>
          </w:p>
        </w:tc>
        <w:tc>
          <w:tcPr>
            <w:tcW w:w="6510" w:type="dxa"/>
            <w:gridSpan w:val="4"/>
            <w:noWrap w:val="0"/>
            <w:tcMar>
              <w:top w:w="0" w:type="dxa"/>
              <w:left w:w="108" w:type="dxa"/>
              <w:bottom w:w="0" w:type="dxa"/>
              <w:right w:w="108" w:type="dxa"/>
            </w:tcMar>
            <w:vAlign w:val="center"/>
          </w:tcPr>
          <w:p w14:paraId="0351D2E0">
            <w:pPr>
              <w:pBdr>
                <w:top w:val="none" w:color="000000" w:sz="0" w:space="0"/>
                <w:left w:val="none" w:color="000000" w:sz="0" w:space="0"/>
                <w:bottom w:val="none" w:color="000000" w:sz="0" w:space="0"/>
                <w:right w:val="none" w:color="000000" w:sz="0" w:space="0"/>
              </w:pBdr>
              <w:spacing w:line="360" w:lineRule="atLeast"/>
              <w:rPr>
                <w:rFonts w:hint="eastAsia" w:ascii="仿宋" w:hAnsi="仿宋" w:eastAsia="仿宋" w:cs="仿宋"/>
                <w:color w:val="000000"/>
              </w:rPr>
            </w:pPr>
            <w:r>
              <w:rPr>
                <w:rFonts w:hint="eastAsia" w:ascii="仿宋" w:hAnsi="仿宋" w:eastAsia="仿宋" w:cs="仿宋"/>
                <w:color w:val="000000"/>
              </w:rPr>
              <w:t>100</w:t>
            </w:r>
          </w:p>
        </w:tc>
      </w:tr>
    </w:tbl>
    <w:p w14:paraId="28396AF5">
      <w:pPr>
        <w:widowControl/>
        <w:spacing w:line="360" w:lineRule="auto"/>
        <w:ind w:firstLine="422"/>
        <w:contextualSpacing/>
        <w:jc w:val="left"/>
        <w:rPr>
          <w:rFonts w:hint="eastAsia" w:ascii="仿宋" w:hAnsi="仿宋" w:eastAsia="仿宋" w:cs="仿宋"/>
          <w:b/>
          <w:bCs/>
          <w:color w:val="000000"/>
        </w:rPr>
      </w:pPr>
      <w:r>
        <w:rPr>
          <w:rFonts w:hint="eastAsia" w:ascii="仿宋" w:hAnsi="仿宋" w:eastAsia="仿宋" w:cs="仿宋"/>
          <w:b/>
          <w:bCs/>
          <w:color w:val="000000"/>
        </w:rPr>
        <w:t>注：1.评标标准中要求提供的证明文件及资料等按要求在响应文件中提供扫描件或复印件；所有资料内容、印章必须完整、清晰可辨且在有效期内。磋商小组成员半数以上认定模糊无法辨认的不得分。</w:t>
      </w:r>
    </w:p>
    <w:p w14:paraId="7310A517">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2.评审时，未能按以上要求提供相应证明的，不作为评标依据，不得分。</w:t>
      </w:r>
    </w:p>
    <w:p w14:paraId="4EF188F3">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3.扫描件必须直接用原件扫描，要求字迹清晰，确保文字内容能看清无变形。</w:t>
      </w:r>
    </w:p>
    <w:p w14:paraId="150A9904">
      <w:pPr>
        <w:widowControl/>
        <w:spacing w:line="360" w:lineRule="auto"/>
        <w:ind w:firstLine="420"/>
        <w:contextualSpacing/>
        <w:jc w:val="left"/>
        <w:rPr>
          <w:rFonts w:hint="eastAsia" w:ascii="仿宋" w:hAnsi="仿宋" w:eastAsia="仿宋" w:cs="仿宋"/>
          <w:color w:val="000000"/>
        </w:rPr>
      </w:pPr>
      <w:r>
        <w:rPr>
          <w:rFonts w:hint="eastAsia" w:ascii="仿宋" w:hAnsi="仿宋" w:eastAsia="仿宋" w:cs="仿宋"/>
          <w:color w:val="000000"/>
        </w:rPr>
        <w:t>4.采用电子证书或者网络截图，必须使用经过备案的政府官方网站截图，且必须是可供任何人查询的公开信息，截图必须包含网址和网站名称，保证他人能够通过网址再次查询到。</w:t>
      </w:r>
    </w:p>
    <w:p w14:paraId="1BD9BB47">
      <w:pPr>
        <w:widowControl/>
        <w:spacing w:line="360" w:lineRule="auto"/>
        <w:ind w:firstLine="420"/>
        <w:contextualSpacing/>
        <w:jc w:val="left"/>
        <w:rPr>
          <w:rFonts w:hint="eastAsia" w:ascii="仿宋" w:hAnsi="仿宋" w:eastAsia="仿宋" w:cs="仿宋"/>
          <w:color w:val="000000"/>
          <w:sz w:val="24"/>
        </w:rPr>
      </w:pPr>
      <w:r>
        <w:rPr>
          <w:rFonts w:hint="eastAsia" w:ascii="仿宋" w:hAnsi="仿宋" w:eastAsia="仿宋" w:cs="仿宋"/>
          <w:color w:val="000000"/>
        </w:rPr>
        <w:t>5.供应商按评分细则所有得分项目均视为对本次磋商的承诺，成交后均作为合同的组成部分。</w:t>
      </w:r>
    </w:p>
    <w:p w14:paraId="481B0829">
      <w:pPr>
        <w:widowControl/>
        <w:jc w:val="center"/>
        <w:rPr>
          <w:rFonts w:ascii="宋体" w:cs="宋体"/>
          <w:spacing w:val="1"/>
          <w:sz w:val="32"/>
          <w:szCs w:val="32"/>
        </w:rPr>
      </w:pPr>
      <w:r>
        <w:rPr>
          <w:rFonts w:ascii="宋体"/>
          <w:sz w:val="32"/>
          <w:szCs w:val="32"/>
        </w:rPr>
        <w:br w:type="page"/>
      </w:r>
      <w:r>
        <w:rPr>
          <w:rFonts w:hint="eastAsia" w:ascii="宋体" w:cs="宋体"/>
          <w:spacing w:val="1"/>
          <w:sz w:val="32"/>
          <w:szCs w:val="32"/>
        </w:rPr>
        <w:t>第四章  采购需求</w:t>
      </w:r>
    </w:p>
    <w:p w14:paraId="55370216">
      <w:pPr>
        <w:spacing w:line="52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常态化监测雨花台烈士陵园相关网络信息，为网络风险信息研判和处置提供技术支持，具体如下：</w:t>
      </w:r>
    </w:p>
    <w:p w14:paraId="587A2DD9">
      <w:pPr>
        <w:spacing w:line="520" w:lineRule="exact"/>
        <w:ind w:firstLine="643" w:firstLineChars="200"/>
        <w:rPr>
          <w:rFonts w:hint="eastAsia" w:ascii="仿宋" w:hAnsi="仿宋" w:eastAsia="仿宋" w:cs="仿宋"/>
          <w:b/>
          <w:color w:val="auto"/>
          <w:kern w:val="0"/>
          <w:sz w:val="32"/>
          <w:szCs w:val="32"/>
          <w:lang w:eastAsia="zh-CN"/>
        </w:rPr>
      </w:pPr>
      <w:r>
        <w:rPr>
          <w:rFonts w:hint="eastAsia" w:ascii="仿宋" w:hAnsi="仿宋" w:eastAsia="仿宋" w:cs="仿宋"/>
          <w:b/>
          <w:color w:val="auto"/>
          <w:kern w:val="0"/>
          <w:sz w:val="32"/>
          <w:szCs w:val="32"/>
          <w:lang w:eastAsia="zh-CN"/>
        </w:rPr>
        <w:t>网络信息监测</w:t>
      </w: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eastAsia="zh-CN"/>
        </w:rPr>
        <w:t>：</w:t>
      </w:r>
    </w:p>
    <w:p w14:paraId="082D33AA">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（供应商，下同）</w:t>
      </w:r>
      <w:r>
        <w:rPr>
          <w:rFonts w:ascii="仿宋" w:hAnsi="仿宋" w:eastAsia="仿宋" w:cs="仿宋"/>
          <w:color w:val="auto"/>
          <w:kern w:val="0"/>
          <w:sz w:val="32"/>
          <w:szCs w:val="32"/>
        </w:rPr>
        <w:t>为</w:t>
      </w:r>
      <w:r>
        <w:rPr>
          <w:rFonts w:hint="eastAsia" w:ascii="仿宋" w:hAnsi="仿宋" w:eastAsia="仿宋" w:cs="仿宋"/>
          <w:color w:val="auto"/>
          <w:kern w:val="0"/>
          <w:sz w:val="32"/>
          <w:szCs w:val="32"/>
        </w:rPr>
        <w:t>甲方</w:t>
      </w:r>
      <w:r>
        <w:rPr>
          <w:rFonts w:hint="eastAsia" w:ascii="仿宋" w:hAnsi="仿宋" w:eastAsia="仿宋" w:cs="仿宋"/>
          <w:color w:val="auto"/>
          <w:kern w:val="0"/>
          <w:sz w:val="32"/>
          <w:szCs w:val="32"/>
          <w:lang w:eastAsia="zh-CN"/>
        </w:rPr>
        <w:t>（采购人，下同）</w:t>
      </w:r>
      <w:r>
        <w:rPr>
          <w:rFonts w:ascii="仿宋" w:hAnsi="仿宋" w:eastAsia="仿宋" w:cs="仿宋"/>
          <w:color w:val="auto"/>
          <w:kern w:val="0"/>
          <w:sz w:val="32"/>
          <w:szCs w:val="32"/>
        </w:rPr>
        <w:t>提供实时全网</w:t>
      </w:r>
      <w:r>
        <w:rPr>
          <w:rFonts w:hint="eastAsia" w:ascii="仿宋" w:hAnsi="仿宋" w:eastAsia="仿宋" w:cs="仿宋"/>
          <w:color w:val="auto"/>
          <w:kern w:val="0"/>
          <w:sz w:val="32"/>
          <w:szCs w:val="32"/>
          <w:lang w:eastAsia="zh-CN"/>
        </w:rPr>
        <w:t>网络信息监测</w:t>
      </w:r>
      <w:r>
        <w:rPr>
          <w:rFonts w:ascii="仿宋" w:hAnsi="仿宋" w:eastAsia="仿宋" w:cs="仿宋"/>
          <w:color w:val="auto"/>
          <w:kern w:val="0"/>
          <w:sz w:val="32"/>
          <w:szCs w:val="32"/>
        </w:rPr>
        <w:t>。根据相关敏感关键词</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eastAsia="zh-CN"/>
        </w:rPr>
        <w:t>甲方指定的清单</w:t>
      </w:r>
      <w:r>
        <w:rPr>
          <w:rFonts w:ascii="仿宋" w:hAnsi="仿宋" w:eastAsia="仿宋" w:cs="仿宋"/>
          <w:color w:val="auto"/>
          <w:kern w:val="0"/>
          <w:sz w:val="32"/>
          <w:szCs w:val="32"/>
        </w:rPr>
        <w:t>，数据覆盖</w:t>
      </w:r>
      <w:r>
        <w:rPr>
          <w:rFonts w:hint="eastAsia" w:ascii="仿宋" w:hAnsi="仿宋" w:eastAsia="仿宋" w:cs="仿宋"/>
          <w:color w:val="auto"/>
          <w:kern w:val="0"/>
          <w:sz w:val="32"/>
          <w:szCs w:val="32"/>
          <w:lang w:eastAsia="zh-CN"/>
        </w:rPr>
        <w:t>包括但不限于</w:t>
      </w:r>
      <w:r>
        <w:rPr>
          <w:rFonts w:hint="eastAsia" w:ascii="仿宋" w:hAnsi="仿宋" w:eastAsia="仿宋" w:cs="仿宋"/>
          <w:color w:val="auto"/>
          <w:kern w:val="0"/>
          <w:sz w:val="32"/>
          <w:szCs w:val="32"/>
        </w:rPr>
        <w:t>新闻网站</w:t>
      </w:r>
      <w:r>
        <w:rPr>
          <w:rFonts w:ascii="仿宋" w:hAnsi="仿宋" w:eastAsia="仿宋" w:cs="仿宋"/>
          <w:color w:val="auto"/>
          <w:kern w:val="0"/>
          <w:sz w:val="32"/>
          <w:szCs w:val="32"/>
        </w:rPr>
        <w:t>、论坛、微博、微信、</w:t>
      </w:r>
      <w:r>
        <w:rPr>
          <w:rFonts w:hint="eastAsia" w:ascii="仿宋" w:hAnsi="仿宋" w:eastAsia="仿宋" w:cs="仿宋"/>
          <w:color w:val="auto"/>
          <w:kern w:val="0"/>
          <w:sz w:val="32"/>
          <w:szCs w:val="32"/>
        </w:rPr>
        <w:t>新闻APP</w:t>
      </w:r>
      <w:r>
        <w:rPr>
          <w:rFonts w:ascii="仿宋" w:hAnsi="仿宋" w:eastAsia="仿宋" w:cs="仿宋"/>
          <w:color w:val="auto"/>
          <w:kern w:val="0"/>
          <w:sz w:val="32"/>
          <w:szCs w:val="32"/>
        </w:rPr>
        <w:t>等</w:t>
      </w:r>
      <w:r>
        <w:rPr>
          <w:rFonts w:hint="eastAsia" w:ascii="仿宋" w:hAnsi="仿宋" w:eastAsia="仿宋" w:cs="仿宋"/>
          <w:color w:val="auto"/>
          <w:kern w:val="0"/>
          <w:sz w:val="32"/>
          <w:szCs w:val="32"/>
        </w:rPr>
        <w:t>多个全网信息传播平台</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须在甲方更新关键词后24小时内完成系统调整。乙方应</w:t>
      </w:r>
      <w:r>
        <w:rPr>
          <w:rFonts w:hint="eastAsia" w:ascii="仿宋" w:hAnsi="仿宋" w:eastAsia="仿宋" w:cs="仿宋"/>
          <w:color w:val="auto"/>
          <w:kern w:val="0"/>
          <w:sz w:val="32"/>
          <w:szCs w:val="32"/>
        </w:rPr>
        <w:t>安排</w:t>
      </w:r>
      <w:r>
        <w:rPr>
          <w:rFonts w:hint="eastAsia" w:ascii="仿宋" w:hAnsi="仿宋" w:eastAsia="仿宋" w:cs="仿宋"/>
          <w:color w:val="auto"/>
          <w:kern w:val="0"/>
          <w:sz w:val="32"/>
          <w:szCs w:val="32"/>
          <w:lang w:eastAsia="zh-CN"/>
        </w:rPr>
        <w:t>具备相关资质的网络信息监测</w:t>
      </w:r>
      <w:r>
        <w:rPr>
          <w:rFonts w:ascii="仿宋" w:hAnsi="仿宋" w:eastAsia="仿宋" w:cs="仿宋"/>
          <w:color w:val="auto"/>
          <w:kern w:val="0"/>
          <w:sz w:val="32"/>
          <w:szCs w:val="32"/>
        </w:rPr>
        <w:t>师在数据分析基础上，为</w:t>
      </w:r>
      <w:r>
        <w:rPr>
          <w:rFonts w:hint="eastAsia" w:ascii="仿宋" w:hAnsi="仿宋" w:eastAsia="仿宋" w:cs="仿宋"/>
          <w:color w:val="auto"/>
          <w:kern w:val="0"/>
          <w:sz w:val="32"/>
          <w:szCs w:val="32"/>
          <w:lang w:eastAsia="zh-CN"/>
        </w:rPr>
        <w:t>甲方实时、准确地</w:t>
      </w:r>
      <w:r>
        <w:rPr>
          <w:rFonts w:hint="eastAsia" w:ascii="仿宋" w:hAnsi="仿宋" w:eastAsia="仿宋" w:cs="仿宋"/>
          <w:color w:val="auto"/>
          <w:kern w:val="0"/>
          <w:sz w:val="32"/>
          <w:szCs w:val="32"/>
        </w:rPr>
        <w:t>收集报送</w:t>
      </w:r>
      <w:r>
        <w:rPr>
          <w:rFonts w:hint="eastAsia" w:ascii="仿宋" w:hAnsi="仿宋" w:eastAsia="仿宋" w:cs="仿宋"/>
          <w:color w:val="auto"/>
          <w:kern w:val="0"/>
          <w:sz w:val="32"/>
          <w:szCs w:val="32"/>
          <w:lang w:eastAsia="zh-CN"/>
        </w:rPr>
        <w:t>网络风险</w:t>
      </w:r>
      <w:r>
        <w:rPr>
          <w:rFonts w:hint="eastAsia" w:ascii="仿宋" w:hAnsi="仿宋" w:eastAsia="仿宋" w:cs="仿宋"/>
          <w:color w:val="auto"/>
          <w:kern w:val="0"/>
          <w:sz w:val="32"/>
          <w:szCs w:val="32"/>
        </w:rPr>
        <w:t>信息。</w:t>
      </w:r>
    </w:p>
    <w:p w14:paraId="26BB2480">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协助甲方做好</w:t>
      </w:r>
      <w:r>
        <w:rPr>
          <w:rFonts w:ascii="仿宋" w:hAnsi="仿宋" w:eastAsia="仿宋" w:cs="仿宋"/>
          <w:color w:val="auto"/>
          <w:kern w:val="0"/>
          <w:sz w:val="32"/>
          <w:szCs w:val="32"/>
        </w:rPr>
        <w:t>雨花台烈士陵园</w:t>
      </w:r>
      <w:r>
        <w:rPr>
          <w:rFonts w:hint="eastAsia" w:ascii="仿宋" w:hAnsi="仿宋" w:eastAsia="仿宋" w:cs="仿宋"/>
          <w:color w:val="auto"/>
          <w:kern w:val="0"/>
          <w:sz w:val="32"/>
          <w:szCs w:val="32"/>
        </w:rPr>
        <w:t>相关网络</w:t>
      </w:r>
      <w:r>
        <w:rPr>
          <w:rFonts w:ascii="仿宋" w:hAnsi="仿宋" w:eastAsia="仿宋" w:cs="仿宋"/>
          <w:color w:val="auto"/>
          <w:kern w:val="0"/>
          <w:sz w:val="32"/>
          <w:szCs w:val="32"/>
        </w:rPr>
        <w:t>信息</w:t>
      </w:r>
      <w:r>
        <w:rPr>
          <w:rFonts w:hint="eastAsia" w:ascii="仿宋" w:hAnsi="仿宋" w:eastAsia="仿宋" w:cs="仿宋"/>
          <w:color w:val="auto"/>
          <w:kern w:val="0"/>
          <w:sz w:val="32"/>
          <w:szCs w:val="32"/>
        </w:rPr>
        <w:t>监测、</w:t>
      </w:r>
      <w:r>
        <w:rPr>
          <w:rFonts w:ascii="仿宋" w:hAnsi="仿宋" w:eastAsia="仿宋" w:cs="仿宋"/>
          <w:color w:val="auto"/>
          <w:kern w:val="0"/>
          <w:sz w:val="32"/>
          <w:szCs w:val="32"/>
        </w:rPr>
        <w:t>技术支持</w:t>
      </w:r>
      <w:r>
        <w:rPr>
          <w:rFonts w:hint="eastAsia" w:ascii="仿宋" w:hAnsi="仿宋" w:eastAsia="仿宋" w:cs="仿宋"/>
          <w:color w:val="auto"/>
          <w:kern w:val="0"/>
          <w:sz w:val="32"/>
          <w:szCs w:val="32"/>
        </w:rPr>
        <w:t>，并</w:t>
      </w:r>
      <w:r>
        <w:rPr>
          <w:rFonts w:ascii="仿宋" w:hAnsi="仿宋" w:eastAsia="仿宋" w:cs="仿宋"/>
          <w:color w:val="auto"/>
          <w:kern w:val="0"/>
          <w:sz w:val="32"/>
          <w:szCs w:val="32"/>
        </w:rPr>
        <w:t>定期形成</w:t>
      </w:r>
      <w:r>
        <w:rPr>
          <w:rFonts w:hint="eastAsia" w:ascii="仿宋" w:hAnsi="仿宋" w:eastAsia="仿宋" w:cs="仿宋"/>
          <w:color w:val="auto"/>
          <w:kern w:val="0"/>
          <w:sz w:val="32"/>
          <w:szCs w:val="32"/>
        </w:rPr>
        <w:t>文件</w:t>
      </w:r>
      <w:r>
        <w:rPr>
          <w:rFonts w:ascii="仿宋" w:hAnsi="仿宋" w:eastAsia="仿宋" w:cs="仿宋"/>
          <w:color w:val="auto"/>
          <w:kern w:val="0"/>
          <w:sz w:val="32"/>
          <w:szCs w:val="32"/>
        </w:rPr>
        <w:t>报告</w:t>
      </w:r>
      <w:r>
        <w:rPr>
          <w:rFonts w:hint="eastAsia" w:ascii="仿宋" w:hAnsi="仿宋" w:eastAsia="仿宋" w:cs="仿宋"/>
          <w:color w:val="auto"/>
          <w:kern w:val="0"/>
          <w:sz w:val="32"/>
          <w:szCs w:val="32"/>
        </w:rPr>
        <w:t>。</w:t>
      </w:r>
    </w:p>
    <w:p w14:paraId="08F34A97">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1.开通雨花台烈士陵园专属监测账号</w:t>
      </w:r>
      <w:r>
        <w:rPr>
          <w:rFonts w:hint="eastAsia" w:ascii="仿宋" w:hAnsi="仿宋" w:eastAsia="仿宋" w:cs="仿宋"/>
          <w:color w:val="auto"/>
          <w:kern w:val="0"/>
          <w:sz w:val="32"/>
          <w:szCs w:val="32"/>
          <w:lang w:eastAsia="zh-CN"/>
        </w:rPr>
        <w:t>。</w:t>
      </w:r>
      <w:r>
        <w:rPr>
          <w:rFonts w:ascii="仿宋" w:hAnsi="仿宋" w:eastAsia="仿宋" w:cs="仿宋"/>
          <w:color w:val="auto"/>
          <w:kern w:val="0"/>
          <w:sz w:val="32"/>
          <w:szCs w:val="32"/>
        </w:rPr>
        <w:t xml:space="preserve"> </w:t>
      </w:r>
    </w:p>
    <w:p w14:paraId="6C39728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2.根据</w:t>
      </w:r>
      <w:r>
        <w:rPr>
          <w:rFonts w:ascii="仿宋" w:hAnsi="仿宋" w:eastAsia="仿宋" w:cs="仿宋"/>
          <w:color w:val="auto"/>
          <w:kern w:val="0"/>
          <w:sz w:val="32"/>
          <w:szCs w:val="32"/>
        </w:rPr>
        <w:t>甲方需求在后台</w:t>
      </w:r>
      <w:r>
        <w:rPr>
          <w:rFonts w:hint="eastAsia" w:ascii="仿宋" w:hAnsi="仿宋" w:eastAsia="仿宋" w:cs="仿宋"/>
          <w:color w:val="auto"/>
          <w:kern w:val="0"/>
          <w:sz w:val="32"/>
          <w:szCs w:val="32"/>
        </w:rPr>
        <w:t>设置网络</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关键词，并根据实际情况进行实时调整</w:t>
      </w:r>
      <w:r>
        <w:rPr>
          <w:rFonts w:hint="eastAsia" w:ascii="仿宋" w:hAnsi="仿宋" w:eastAsia="仿宋" w:cs="仿宋"/>
          <w:color w:val="auto"/>
          <w:kern w:val="0"/>
          <w:sz w:val="32"/>
          <w:szCs w:val="32"/>
          <w:lang w:eastAsia="zh-CN"/>
        </w:rPr>
        <w:t>。</w:t>
      </w:r>
    </w:p>
    <w:p w14:paraId="4436FAD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3.安排专业对口人员一对一实时监测，发现相关网络</w:t>
      </w:r>
      <w:r>
        <w:rPr>
          <w:rFonts w:hint="eastAsia" w:ascii="仿宋" w:hAnsi="仿宋" w:eastAsia="仿宋" w:cs="仿宋"/>
          <w:color w:val="auto"/>
          <w:kern w:val="0"/>
          <w:sz w:val="32"/>
          <w:szCs w:val="32"/>
          <w:lang w:eastAsia="zh-CN"/>
        </w:rPr>
        <w:t>风险</w:t>
      </w:r>
      <w:r>
        <w:rPr>
          <w:rFonts w:hint="eastAsia" w:ascii="仿宋" w:hAnsi="仿宋" w:eastAsia="仿宋" w:cs="仿宋"/>
          <w:color w:val="auto"/>
          <w:kern w:val="0"/>
          <w:sz w:val="32"/>
          <w:szCs w:val="32"/>
        </w:rPr>
        <w:t>信息通过短信、微信或者电子邮件等渠道及时推送，并进行预警与研判提醒</w:t>
      </w:r>
      <w:r>
        <w:rPr>
          <w:rFonts w:hint="eastAsia" w:ascii="仿宋" w:hAnsi="仿宋" w:eastAsia="仿宋" w:cs="仿宋"/>
          <w:color w:val="auto"/>
          <w:kern w:val="0"/>
          <w:sz w:val="32"/>
          <w:szCs w:val="32"/>
          <w:lang w:eastAsia="zh-CN"/>
        </w:rPr>
        <w:t>。</w:t>
      </w:r>
    </w:p>
    <w:p w14:paraId="5D1F538F">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4.定制网络信息报告不少于</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份。</w:t>
      </w:r>
    </w:p>
    <w:p w14:paraId="54A3755C">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具体服务内容如下：</w:t>
      </w:r>
    </w:p>
    <w:p w14:paraId="0A657FF6">
      <w:pPr>
        <w:numPr>
          <w:ilvl w:val="0"/>
          <w:numId w:val="1"/>
        </w:numPr>
        <w:spacing w:line="520" w:lineRule="exact"/>
        <w:ind w:left="0" w:leftChars="0" w:firstLine="643" w:firstLineChars="200"/>
        <w:jc w:val="left"/>
        <w:rPr>
          <w:rFonts w:ascii="仿宋" w:hAnsi="仿宋" w:eastAsia="仿宋" w:cs="仿宋"/>
          <w:color w:val="auto"/>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服务时间</w:t>
      </w:r>
      <w:r>
        <w:rPr>
          <w:rFonts w:hint="eastAsia" w:ascii="仿宋" w:hAnsi="仿宋" w:eastAsia="仿宋" w:cs="仿宋"/>
          <w:color w:val="auto"/>
          <w:sz w:val="32"/>
          <w:szCs w:val="32"/>
        </w:rPr>
        <w:t>：工作时间（9：00-18：00）为人工实时监测。其余时间段为机器自动监控，人工整理后推送；</w:t>
      </w:r>
    </w:p>
    <w:p w14:paraId="7F6332C1">
      <w:pPr>
        <w:numPr>
          <w:ilvl w:val="0"/>
          <w:numId w:val="1"/>
        </w:numPr>
        <w:spacing w:line="520" w:lineRule="exact"/>
        <w:ind w:left="0" w:leftChars="0" w:firstLine="643" w:firstLineChars="200"/>
        <w:jc w:val="left"/>
        <w:rPr>
          <w:rFonts w:ascii="仿宋" w:hAnsi="仿宋" w:eastAsia="仿宋" w:cs="仿宋"/>
          <w:color w:val="FF0000"/>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服务人员</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由乙方安排</w:t>
      </w:r>
      <w:r>
        <w:rPr>
          <w:rFonts w:ascii="仿宋" w:hAnsi="仿宋" w:eastAsia="仿宋" w:cs="仿宋"/>
          <w:color w:val="auto"/>
          <w:kern w:val="0"/>
          <w:sz w:val="32"/>
          <w:szCs w:val="32"/>
        </w:rPr>
        <w:t>专业</w:t>
      </w:r>
      <w:r>
        <w:rPr>
          <w:rFonts w:hint="eastAsia" w:ascii="仿宋" w:hAnsi="仿宋" w:eastAsia="仿宋" w:cs="仿宋"/>
          <w:color w:val="auto"/>
          <w:kern w:val="0"/>
          <w:sz w:val="32"/>
          <w:szCs w:val="32"/>
        </w:rPr>
        <w:t>分析师组建团队，</w:t>
      </w:r>
      <w:r>
        <w:rPr>
          <w:rFonts w:ascii="仿宋" w:hAnsi="仿宋" w:eastAsia="仿宋" w:cs="仿宋"/>
          <w:color w:val="auto"/>
          <w:kern w:val="0"/>
          <w:sz w:val="32"/>
          <w:szCs w:val="32"/>
        </w:rPr>
        <w:t>点对</w:t>
      </w:r>
      <w:r>
        <w:rPr>
          <w:rFonts w:hint="eastAsia" w:ascii="仿宋" w:hAnsi="仿宋" w:eastAsia="仿宋" w:cs="仿宋"/>
          <w:color w:val="auto"/>
          <w:kern w:val="0"/>
          <w:sz w:val="32"/>
          <w:szCs w:val="32"/>
          <w:lang w:eastAsia="zh-CN"/>
        </w:rPr>
        <w:t>点</w:t>
      </w:r>
      <w:r>
        <w:rPr>
          <w:rFonts w:ascii="仿宋" w:hAnsi="仿宋" w:eastAsia="仿宋" w:cs="仿宋"/>
          <w:color w:val="auto"/>
          <w:kern w:val="0"/>
          <w:sz w:val="32"/>
          <w:szCs w:val="32"/>
        </w:rPr>
        <w:t>对</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进行服务。建立微信、QQ、电话等实时联动机制，实时通报相关</w:t>
      </w:r>
      <w:r>
        <w:rPr>
          <w:rFonts w:hint="eastAsia" w:ascii="仿宋" w:hAnsi="仿宋" w:eastAsia="仿宋" w:cs="仿宋"/>
          <w:color w:val="auto"/>
          <w:kern w:val="0"/>
          <w:sz w:val="32"/>
          <w:szCs w:val="32"/>
          <w:lang w:eastAsia="zh-CN"/>
        </w:rPr>
        <w:t>情况</w:t>
      </w:r>
      <w:r>
        <w:rPr>
          <w:rFonts w:ascii="仿宋" w:hAnsi="仿宋" w:eastAsia="仿宋" w:cs="仿宋"/>
          <w:color w:val="auto"/>
          <w:kern w:val="0"/>
          <w:sz w:val="32"/>
          <w:szCs w:val="32"/>
        </w:rPr>
        <w:t>，并给予相关处置建议。</w:t>
      </w:r>
    </w:p>
    <w:p w14:paraId="77847423">
      <w:pPr>
        <w:numPr>
          <w:ilvl w:val="0"/>
          <w:numId w:val="1"/>
        </w:numPr>
        <w:spacing w:line="520" w:lineRule="exact"/>
        <w:ind w:left="0"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乙方承诺其服务团队核心成员（分析师、技术专员）未经甲方书面同意不得更换，否则每更换一人需向甲方支付合同总价款10%的违约金。</w:t>
      </w:r>
    </w:p>
    <w:p w14:paraId="7A89F37E">
      <w:pPr>
        <w:numPr>
          <w:ilvl w:val="0"/>
          <w:numId w:val="1"/>
        </w:numPr>
        <w:spacing w:line="520" w:lineRule="exact"/>
        <w:ind w:left="0" w:leftChars="0" w:firstLine="643" w:firstLineChars="200"/>
        <w:jc w:val="left"/>
        <w:rPr>
          <w:rFonts w:ascii="仿宋" w:hAnsi="仿宋" w:eastAsia="仿宋" w:cs="仿宋"/>
          <w:color w:val="auto"/>
          <w:kern w:val="0"/>
          <w:sz w:val="32"/>
          <w:szCs w:val="32"/>
        </w:rPr>
      </w:pPr>
      <w:r>
        <w:rPr>
          <w:rFonts w:hint="eastAsia" w:ascii="仿宋" w:hAnsi="仿宋" w:eastAsia="仿宋" w:cs="仿宋"/>
          <w:b/>
          <w:color w:val="auto"/>
          <w:sz w:val="32"/>
          <w:szCs w:val="32"/>
        </w:rPr>
        <w:t>大数据报告：</w:t>
      </w:r>
      <w:r>
        <w:rPr>
          <w:rFonts w:hint="eastAsia" w:ascii="仿宋" w:hAnsi="仿宋" w:eastAsia="仿宋" w:cs="仿宋"/>
          <w:color w:val="auto"/>
          <w:kern w:val="0"/>
          <w:sz w:val="32"/>
          <w:szCs w:val="32"/>
        </w:rPr>
        <w:t>服务期间，乙方为甲方提供服务期内</w:t>
      </w:r>
      <w:r>
        <w:rPr>
          <w:rFonts w:hint="eastAsia" w:ascii="仿宋" w:hAnsi="仿宋" w:eastAsia="仿宋" w:cs="仿宋"/>
          <w:b/>
          <w:color w:val="auto"/>
          <w:kern w:val="0"/>
          <w:sz w:val="32"/>
          <w:szCs w:val="32"/>
          <w:lang w:val="en-US" w:eastAsia="zh-CN"/>
        </w:rPr>
        <w:t>6份</w:t>
      </w:r>
      <w:r>
        <w:rPr>
          <w:rFonts w:ascii="仿宋" w:hAnsi="仿宋" w:eastAsia="仿宋" w:cs="仿宋"/>
          <w:b/>
          <w:color w:val="auto"/>
          <w:kern w:val="0"/>
          <w:sz w:val="32"/>
          <w:szCs w:val="32"/>
        </w:rPr>
        <w:t>大数据</w:t>
      </w:r>
      <w:r>
        <w:rPr>
          <w:rFonts w:hint="eastAsia" w:ascii="仿宋" w:hAnsi="仿宋" w:eastAsia="仿宋" w:cs="仿宋"/>
          <w:b/>
          <w:color w:val="auto"/>
          <w:kern w:val="0"/>
          <w:sz w:val="32"/>
          <w:szCs w:val="32"/>
          <w:lang w:eastAsia="zh-CN"/>
        </w:rPr>
        <w:t>情况</w:t>
      </w:r>
      <w:r>
        <w:rPr>
          <w:rFonts w:hint="eastAsia" w:ascii="仿宋" w:hAnsi="仿宋" w:eastAsia="仿宋" w:cs="仿宋"/>
          <w:b/>
          <w:color w:val="auto"/>
          <w:kern w:val="0"/>
          <w:sz w:val="32"/>
          <w:szCs w:val="32"/>
          <w:lang w:val="en-US" w:eastAsia="zh-CN"/>
        </w:rPr>
        <w:t>报告</w:t>
      </w: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eastAsia="zh-CN"/>
        </w:rPr>
        <w:t>份</w:t>
      </w:r>
      <w:r>
        <w:rPr>
          <w:rFonts w:ascii="仿宋" w:hAnsi="仿宋" w:eastAsia="仿宋" w:cs="仿宋"/>
          <w:b/>
          <w:color w:val="auto"/>
          <w:kern w:val="0"/>
          <w:sz w:val="32"/>
          <w:szCs w:val="32"/>
        </w:rPr>
        <w:t>年报</w:t>
      </w:r>
      <w:r>
        <w:rPr>
          <w:rFonts w:hint="eastAsia" w:ascii="仿宋" w:hAnsi="仿宋" w:eastAsia="仿宋" w:cs="仿宋"/>
          <w:b/>
          <w:color w:val="auto"/>
          <w:kern w:val="0"/>
          <w:sz w:val="32"/>
          <w:szCs w:val="32"/>
          <w:lang w:eastAsia="zh-CN"/>
        </w:rPr>
        <w:t>、</w:t>
      </w:r>
      <w:r>
        <w:rPr>
          <w:rFonts w:hint="eastAsia" w:ascii="仿宋" w:hAnsi="仿宋" w:eastAsia="仿宋" w:cs="仿宋"/>
          <w:b/>
          <w:color w:val="auto"/>
          <w:kern w:val="0"/>
          <w:sz w:val="32"/>
          <w:szCs w:val="32"/>
          <w:lang w:val="en-US" w:eastAsia="zh-CN"/>
        </w:rPr>
        <w:t>5份季度报告</w:t>
      </w:r>
      <w:r>
        <w:rPr>
          <w:rFonts w:ascii="仿宋" w:hAnsi="仿宋" w:eastAsia="仿宋" w:cs="仿宋"/>
          <w:b/>
          <w:color w:val="auto"/>
          <w:kern w:val="0"/>
          <w:sz w:val="32"/>
          <w:szCs w:val="32"/>
        </w:rPr>
        <w:t>）。</w:t>
      </w:r>
      <w:r>
        <w:rPr>
          <w:rFonts w:hint="eastAsia" w:ascii="仿宋" w:hAnsi="仿宋" w:eastAsia="仿宋" w:cs="仿宋"/>
          <w:b/>
          <w:color w:val="auto"/>
          <w:kern w:val="0"/>
          <w:sz w:val="32"/>
          <w:szCs w:val="32"/>
          <w:lang w:eastAsia="zh-CN"/>
        </w:rPr>
        <w:t>季度报告应于每季度结束后10个工作日内提交，年报应于服务期结束后15个工作日内提交。</w:t>
      </w:r>
    </w:p>
    <w:p w14:paraId="6C87EA85">
      <w:pPr>
        <w:pStyle w:val="20"/>
        <w:numPr>
          <w:ilvl w:val="0"/>
          <w:numId w:val="0"/>
        </w:numPr>
        <w:spacing w:line="520" w:lineRule="exact"/>
        <w:ind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报告内容包括，监测期内</w:t>
      </w:r>
      <w:r>
        <w:rPr>
          <w:rFonts w:hint="eastAsia" w:ascii="仿宋" w:hAnsi="仿宋" w:eastAsia="仿宋" w:cs="仿宋"/>
          <w:color w:val="auto"/>
          <w:kern w:val="0"/>
          <w:sz w:val="32"/>
          <w:szCs w:val="32"/>
          <w:lang w:eastAsia="zh-CN"/>
        </w:rPr>
        <w:t>网络信息监测</w:t>
      </w:r>
      <w:r>
        <w:rPr>
          <w:rFonts w:hint="eastAsia" w:ascii="仿宋" w:hAnsi="仿宋" w:eastAsia="仿宋" w:cs="仿宋"/>
          <w:color w:val="auto"/>
          <w:kern w:val="0"/>
          <w:sz w:val="32"/>
          <w:szCs w:val="32"/>
        </w:rPr>
        <w:t>综述、正面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以及选摘、负面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以及应对、下阶段</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研判及建议加强对</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走势的深入分析，提出有效得力的对策建议；对涉负面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内容及时给予应对意见，围绕重点、跟踪</w:t>
      </w:r>
      <w:r>
        <w:rPr>
          <w:rFonts w:hint="eastAsia" w:ascii="仿宋" w:hAnsi="仿宋" w:eastAsia="仿宋" w:cs="仿宋"/>
          <w:color w:val="auto"/>
          <w:kern w:val="0"/>
          <w:sz w:val="32"/>
          <w:szCs w:val="32"/>
          <w:lang w:eastAsia="zh-CN"/>
        </w:rPr>
        <w:t>热</w:t>
      </w:r>
      <w:r>
        <w:rPr>
          <w:rFonts w:hint="eastAsia" w:ascii="仿宋" w:hAnsi="仿宋" w:eastAsia="仿宋" w:cs="仿宋"/>
          <w:color w:val="auto"/>
          <w:kern w:val="0"/>
          <w:sz w:val="32"/>
          <w:szCs w:val="32"/>
        </w:rPr>
        <w:t>点、把握难点，为决策服务</w:t>
      </w:r>
      <w:r>
        <w:rPr>
          <w:rFonts w:ascii="仿宋" w:hAnsi="仿宋" w:eastAsia="仿宋" w:cs="仿宋"/>
          <w:color w:val="auto"/>
          <w:kern w:val="0"/>
          <w:sz w:val="32"/>
          <w:szCs w:val="32"/>
        </w:rPr>
        <w:t>提供专业支持。</w:t>
      </w:r>
      <w:r>
        <w:rPr>
          <w:rFonts w:hint="eastAsia" w:ascii="仿宋" w:hAnsi="仿宋" w:eastAsia="仿宋" w:cs="仿宋"/>
          <w:color w:val="auto"/>
          <w:kern w:val="0"/>
          <w:sz w:val="32"/>
          <w:szCs w:val="32"/>
        </w:rPr>
        <w:t>（可根据实际需求，对上述内容进行实时调整）。</w:t>
      </w:r>
    </w:p>
    <w:p w14:paraId="59024A50">
      <w:pPr>
        <w:spacing w:line="520" w:lineRule="exact"/>
        <w:ind w:firstLine="643" w:firstLineChars="20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val="en-US" w:eastAsia="zh-CN"/>
        </w:rPr>
        <w:t>要求如下：</w:t>
      </w:r>
    </w:p>
    <w:p w14:paraId="6D91DDD3">
      <w:pPr>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根据甲方需求，乙方提供及时、准确、全面、有针对性的大数据服务。服务中秉承以下原则：</w:t>
      </w:r>
    </w:p>
    <w:p w14:paraId="0CEB0363">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及时性原则</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须确保所有</w:t>
      </w:r>
      <w:r>
        <w:rPr>
          <w:rFonts w:hint="eastAsia" w:ascii="仿宋" w:hAnsi="仿宋" w:eastAsia="仿宋" w:cs="仿宋"/>
          <w:color w:val="auto"/>
          <w:kern w:val="0"/>
          <w:sz w:val="32"/>
          <w:szCs w:val="32"/>
        </w:rPr>
        <w:t>重大</w:t>
      </w:r>
      <w:r>
        <w:rPr>
          <w:rFonts w:hint="eastAsia" w:ascii="仿宋" w:hAnsi="仿宋" w:eastAsia="仿宋" w:cs="仿宋"/>
          <w:color w:val="auto"/>
          <w:kern w:val="0"/>
          <w:sz w:val="32"/>
          <w:szCs w:val="32"/>
          <w:lang w:eastAsia="zh-CN"/>
        </w:rPr>
        <w:t>负面网络信息</w:t>
      </w:r>
      <w:r>
        <w:rPr>
          <w:rFonts w:hint="eastAsia" w:ascii="仿宋" w:hAnsi="仿宋" w:eastAsia="仿宋" w:cs="仿宋"/>
          <w:color w:val="auto"/>
          <w:kern w:val="0"/>
          <w:sz w:val="32"/>
          <w:szCs w:val="32"/>
        </w:rPr>
        <w:t>在公开网络发生后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小时内提供</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数据</w:t>
      </w:r>
      <w:r>
        <w:rPr>
          <w:rFonts w:hint="eastAsia" w:ascii="仿宋" w:hAnsi="仿宋" w:eastAsia="仿宋" w:cs="仿宋"/>
          <w:color w:val="auto"/>
          <w:kern w:val="0"/>
          <w:sz w:val="32"/>
          <w:szCs w:val="32"/>
          <w:lang w:eastAsia="zh-CN"/>
        </w:rPr>
        <w:t>及初步分析报告，并在3小时内提交完整应对方案。</w:t>
      </w:r>
    </w:p>
    <w:p w14:paraId="5C38357B">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准确性原则。</w:t>
      </w:r>
      <w:r>
        <w:rPr>
          <w:rFonts w:hint="eastAsia" w:ascii="仿宋" w:hAnsi="仿宋" w:eastAsia="仿宋" w:cs="仿宋"/>
          <w:color w:val="auto"/>
          <w:kern w:val="0"/>
          <w:sz w:val="32"/>
          <w:szCs w:val="32"/>
        </w:rPr>
        <w:t>乙方提供数据来自微博/微信公众号/APP（重点新闻客户端）/门户网站/论坛/贴吧等，确保数据来源明确；</w:t>
      </w:r>
    </w:p>
    <w:p w14:paraId="517C425A">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全面性原则。</w:t>
      </w:r>
      <w:r>
        <w:rPr>
          <w:rFonts w:hint="eastAsia" w:ascii="仿宋" w:hAnsi="仿宋" w:eastAsia="仿宋" w:cs="仿宋"/>
          <w:color w:val="auto"/>
          <w:kern w:val="0"/>
          <w:sz w:val="32"/>
          <w:szCs w:val="32"/>
        </w:rPr>
        <w:t>根据甲方需求，监测范围包括但不限于微博/微信公众号/APP（重点新闻客户端）/门户网站/论坛/贴吧；</w:t>
      </w:r>
    </w:p>
    <w:p w14:paraId="67ACF3E9">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针对性原则。</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报告根据甲方需求和特点定制，具有独特的参考性。</w:t>
      </w:r>
    </w:p>
    <w:p w14:paraId="7D90002B">
      <w:pPr>
        <w:spacing w:line="580" w:lineRule="exact"/>
        <w:ind w:firstLine="640" w:firstLineChars="200"/>
        <w:jc w:val="left"/>
        <w:rPr>
          <w:rFonts w:ascii="宋体"/>
          <w:sz w:val="32"/>
          <w:szCs w:val="32"/>
        </w:rPr>
      </w:pPr>
    </w:p>
    <w:p w14:paraId="2388AADC">
      <w:pPr>
        <w:widowControl/>
        <w:jc w:val="left"/>
        <w:rPr>
          <w:rFonts w:hint="eastAsia" w:ascii="黑体" w:hAnsi="黑体" w:cs="黑体"/>
          <w:spacing w:val="1"/>
          <w:sz w:val="32"/>
          <w:szCs w:val="32"/>
        </w:rPr>
      </w:pPr>
    </w:p>
    <w:p w14:paraId="41F51D44">
      <w:pPr>
        <w:widowControl/>
        <w:ind w:firstLine="647" w:firstLineChars="200"/>
        <w:jc w:val="left"/>
        <w:rPr>
          <w:rFonts w:hint="eastAsia" w:ascii="黑体" w:hAnsi="黑体" w:cs="黑体"/>
          <w:b/>
          <w:bCs/>
          <w:spacing w:val="1"/>
          <w:sz w:val="32"/>
          <w:szCs w:val="32"/>
        </w:rPr>
      </w:pPr>
      <w:r>
        <w:rPr>
          <w:rFonts w:hint="eastAsia" w:ascii="黑体" w:hAnsi="黑体" w:cs="黑体"/>
          <w:b/>
          <w:bCs/>
          <w:spacing w:val="1"/>
          <w:sz w:val="32"/>
          <w:szCs w:val="32"/>
        </w:rPr>
        <w:t>特别说明：本章内容均为实质性要求，不接受负偏离，否则作为无效响应文件。供应商提供承诺函，格式自拟并加盖公章。未提供或未全部响应的按无效投标处理。</w:t>
      </w:r>
    </w:p>
    <w:p w14:paraId="79923BE2">
      <w:pPr>
        <w:rPr>
          <w:rFonts w:hint="eastAsia" w:ascii="黑体" w:hAnsi="黑体" w:cs="黑体"/>
          <w:spacing w:val="1"/>
          <w:sz w:val="32"/>
          <w:szCs w:val="32"/>
        </w:rPr>
      </w:pPr>
      <w:r>
        <w:rPr>
          <w:rFonts w:hint="eastAsia" w:ascii="黑体" w:hAnsi="黑体" w:cs="黑体"/>
          <w:spacing w:val="1"/>
          <w:sz w:val="32"/>
          <w:szCs w:val="32"/>
        </w:rPr>
        <w:br w:type="page"/>
      </w:r>
    </w:p>
    <w:p w14:paraId="1842BF75">
      <w:pPr>
        <w:pStyle w:val="10"/>
        <w:spacing w:line="560" w:lineRule="exact"/>
        <w:jc w:val="center"/>
        <w:rPr>
          <w:rFonts w:ascii="黑体" w:eastAsia="黑体"/>
          <w:sz w:val="32"/>
          <w:szCs w:val="32"/>
        </w:rPr>
      </w:pPr>
      <w:r>
        <w:rPr>
          <w:rFonts w:hint="eastAsia" w:ascii="黑体" w:eastAsia="黑体"/>
          <w:sz w:val="32"/>
          <w:szCs w:val="32"/>
        </w:rPr>
        <w:t>第</w:t>
      </w:r>
      <w:r>
        <w:rPr>
          <w:rFonts w:hint="eastAsia" w:ascii="黑体" w:eastAsia="黑体"/>
          <w:sz w:val="32"/>
          <w:szCs w:val="32"/>
          <w:lang w:eastAsia="zh-CN"/>
        </w:rPr>
        <w:t>五</w:t>
      </w:r>
      <w:r>
        <w:rPr>
          <w:rFonts w:hint="eastAsia" w:ascii="黑体" w:eastAsia="黑体"/>
          <w:sz w:val="32"/>
          <w:szCs w:val="32"/>
        </w:rPr>
        <w:t>章  合同文本</w:t>
      </w:r>
    </w:p>
    <w:p w14:paraId="156D13C7">
      <w:pPr>
        <w:pStyle w:val="10"/>
        <w:spacing w:line="560" w:lineRule="exact"/>
        <w:ind w:firstLine="640" w:firstLineChars="200"/>
        <w:rPr>
          <w:rFonts w:ascii="仿宋_GB2312" w:eastAsia="仿宋_GB2312"/>
          <w:sz w:val="32"/>
          <w:szCs w:val="32"/>
        </w:rPr>
      </w:pPr>
    </w:p>
    <w:tbl>
      <w:tblPr>
        <w:tblStyle w:val="17"/>
        <w:tblW w:w="4998" w:type="pct"/>
        <w:tblInd w:w="0" w:type="dxa"/>
        <w:tblLayout w:type="autofit"/>
        <w:tblCellMar>
          <w:top w:w="0" w:type="dxa"/>
          <w:left w:w="0" w:type="dxa"/>
          <w:bottom w:w="0" w:type="dxa"/>
          <w:right w:w="0" w:type="dxa"/>
        </w:tblCellMar>
      </w:tblPr>
      <w:tblGrid>
        <w:gridCol w:w="3898"/>
        <w:gridCol w:w="4405"/>
      </w:tblGrid>
      <w:tr w14:paraId="6FFF403D">
        <w:tblPrEx>
          <w:tblCellMar>
            <w:top w:w="0" w:type="dxa"/>
            <w:left w:w="0" w:type="dxa"/>
            <w:bottom w:w="0" w:type="dxa"/>
            <w:right w:w="0" w:type="dxa"/>
          </w:tblCellMar>
        </w:tblPrEx>
        <w:tc>
          <w:tcPr>
            <w:tcW w:w="2347" w:type="pct"/>
          </w:tcPr>
          <w:p w14:paraId="521431BF">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采购人（以下称甲方）：</w:t>
            </w:r>
          </w:p>
          <w:p w14:paraId="06A86EDF">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南京市雨花台烈士陵园管理局</w:t>
            </w:r>
          </w:p>
        </w:tc>
        <w:tc>
          <w:tcPr>
            <w:tcW w:w="2652" w:type="pct"/>
          </w:tcPr>
          <w:p w14:paraId="1D5FBA54">
            <w:pPr>
              <w:spacing w:line="520" w:lineRule="exact"/>
              <w:ind w:firstLine="420" w:firstLineChars="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供应商（以下称乙方）：</w:t>
            </w:r>
          </w:p>
          <w:p w14:paraId="426E37D7">
            <w:pPr>
              <w:spacing w:line="520" w:lineRule="exact"/>
              <w:ind w:firstLine="420" w:firstLineChars="0"/>
              <w:rPr>
                <w:rFonts w:hint="eastAsia" w:ascii="仿宋" w:hAnsi="仿宋" w:eastAsia="仿宋" w:cs="仿宋"/>
                <w:color w:val="auto"/>
                <w:kern w:val="0"/>
                <w:sz w:val="32"/>
                <w:szCs w:val="32"/>
                <w:lang w:val="en-US" w:eastAsia="zh-Hans"/>
              </w:rPr>
            </w:pPr>
          </w:p>
        </w:tc>
      </w:tr>
      <w:tr w14:paraId="195BA1C8">
        <w:tblPrEx>
          <w:tblCellMar>
            <w:top w:w="0" w:type="dxa"/>
            <w:left w:w="0" w:type="dxa"/>
            <w:bottom w:w="0" w:type="dxa"/>
            <w:right w:w="0" w:type="dxa"/>
          </w:tblCellMar>
        </w:tblPrEx>
        <w:tc>
          <w:tcPr>
            <w:tcW w:w="2347" w:type="pct"/>
          </w:tcPr>
          <w:p w14:paraId="06B3E54D">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住所地：</w:t>
            </w:r>
          </w:p>
          <w:p w14:paraId="5C17E36B">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南京市雨花台区雨花路215号</w:t>
            </w:r>
          </w:p>
        </w:tc>
        <w:tc>
          <w:tcPr>
            <w:tcW w:w="2652" w:type="pct"/>
          </w:tcPr>
          <w:p w14:paraId="0BE4C6F0">
            <w:pPr>
              <w:spacing w:line="520" w:lineRule="exac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住所地：</w:t>
            </w:r>
          </w:p>
          <w:p w14:paraId="7A41D521">
            <w:pPr>
              <w:spacing w:line="520" w:lineRule="exact"/>
              <w:rPr>
                <w:rFonts w:hint="eastAsia" w:ascii="仿宋" w:hAnsi="仿宋" w:eastAsia="仿宋" w:cs="仿宋"/>
                <w:color w:val="auto"/>
                <w:kern w:val="0"/>
                <w:sz w:val="32"/>
                <w:szCs w:val="32"/>
                <w:lang w:val="en-US" w:eastAsia="zh-CN"/>
              </w:rPr>
            </w:pPr>
          </w:p>
        </w:tc>
      </w:tr>
    </w:tbl>
    <w:p w14:paraId="7CE4AE2B"/>
    <w:p w14:paraId="68301ED4"/>
    <w:p w14:paraId="066178AA">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为进一步加强甲方网络信息监测预警能力，</w:t>
      </w:r>
      <w:r>
        <w:rPr>
          <w:rFonts w:hint="eastAsia" w:ascii="仿宋" w:hAnsi="仿宋" w:eastAsia="仿宋" w:cs="仿宋"/>
          <w:color w:val="auto"/>
          <w:kern w:val="0"/>
          <w:sz w:val="32"/>
          <w:szCs w:val="32"/>
          <w:lang w:eastAsia="zh-CN"/>
        </w:rPr>
        <w:t>经甲乙双方</w:t>
      </w:r>
      <w:r>
        <w:rPr>
          <w:rFonts w:hint="eastAsia" w:ascii="仿宋" w:hAnsi="仿宋" w:eastAsia="仿宋" w:cs="仿宋"/>
          <w:color w:val="auto"/>
          <w:kern w:val="0"/>
          <w:sz w:val="32"/>
          <w:szCs w:val="32"/>
        </w:rPr>
        <w:t>友好协商，</w:t>
      </w:r>
      <w:r>
        <w:rPr>
          <w:rFonts w:ascii="仿宋" w:hAnsi="仿宋" w:eastAsia="仿宋" w:cs="仿宋"/>
          <w:color w:val="auto"/>
          <w:kern w:val="0"/>
          <w:sz w:val="32"/>
          <w:szCs w:val="32"/>
        </w:rPr>
        <w:t>就202</w:t>
      </w:r>
      <w:r>
        <w:rPr>
          <w:rFonts w:hint="eastAsia" w:ascii="仿宋" w:hAnsi="仿宋" w:eastAsia="仿宋" w:cs="仿宋"/>
          <w:color w:val="auto"/>
          <w:kern w:val="0"/>
          <w:sz w:val="32"/>
          <w:szCs w:val="32"/>
          <w:lang w:val="en-US" w:eastAsia="zh-CN"/>
        </w:rPr>
        <w:t>5</w:t>
      </w:r>
      <w:r>
        <w:rPr>
          <w:rFonts w:ascii="仿宋" w:hAnsi="仿宋" w:eastAsia="仿宋" w:cs="仿宋"/>
          <w:color w:val="auto"/>
          <w:kern w:val="0"/>
          <w:sz w:val="32"/>
          <w:szCs w:val="32"/>
        </w:rPr>
        <w:t>年-202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eastAsia="zh-CN"/>
        </w:rPr>
        <w:t>网络信息监测项目</w:t>
      </w:r>
      <w:r>
        <w:rPr>
          <w:rFonts w:ascii="仿宋" w:hAnsi="仿宋" w:eastAsia="仿宋" w:cs="仿宋"/>
          <w:color w:val="auto"/>
          <w:kern w:val="0"/>
          <w:sz w:val="32"/>
          <w:szCs w:val="32"/>
        </w:rPr>
        <w:t>达成以下</w:t>
      </w:r>
      <w:r>
        <w:rPr>
          <w:rFonts w:hint="eastAsia" w:ascii="仿宋" w:hAnsi="仿宋" w:eastAsia="仿宋" w:cs="仿宋"/>
          <w:color w:val="auto"/>
          <w:kern w:val="0"/>
          <w:sz w:val="32"/>
          <w:szCs w:val="32"/>
          <w:lang w:eastAsia="zh-CN"/>
        </w:rPr>
        <w:t>服务合同</w:t>
      </w:r>
      <w:r>
        <w:rPr>
          <w:rFonts w:ascii="仿宋" w:hAnsi="仿宋" w:eastAsia="仿宋" w:cs="仿宋"/>
          <w:color w:val="auto"/>
          <w:kern w:val="0"/>
          <w:sz w:val="32"/>
          <w:szCs w:val="32"/>
        </w:rPr>
        <w:t>协议：</w:t>
      </w:r>
    </w:p>
    <w:p w14:paraId="43A7838F">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rPr>
        <w:t>一、服务内容</w:t>
      </w:r>
    </w:p>
    <w:p w14:paraId="48E5C025">
      <w:pPr>
        <w:spacing w:line="520" w:lineRule="exact"/>
        <w:ind w:firstLine="643" w:firstLineChars="200"/>
        <w:rPr>
          <w:rFonts w:ascii="仿宋" w:hAnsi="仿宋" w:eastAsia="仿宋" w:cs="仿宋"/>
          <w:b/>
          <w:color w:val="auto"/>
          <w:kern w:val="0"/>
          <w:sz w:val="32"/>
          <w:szCs w:val="32"/>
        </w:rPr>
      </w:pP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val="en-US" w:eastAsia="zh-CN"/>
        </w:rPr>
        <w:t>.</w:t>
      </w:r>
      <w:r>
        <w:rPr>
          <w:rFonts w:hint="eastAsia" w:ascii="仿宋" w:hAnsi="仿宋" w:eastAsia="仿宋" w:cs="仿宋"/>
          <w:b/>
          <w:color w:val="auto"/>
          <w:kern w:val="0"/>
          <w:sz w:val="32"/>
          <w:szCs w:val="32"/>
          <w:lang w:eastAsia="zh-CN"/>
        </w:rPr>
        <w:t>网络信息监测</w:t>
      </w:r>
      <w:r>
        <w:rPr>
          <w:rFonts w:hint="eastAsia" w:ascii="仿宋" w:hAnsi="仿宋" w:eastAsia="仿宋" w:cs="仿宋"/>
          <w:b/>
          <w:color w:val="auto"/>
          <w:kern w:val="0"/>
          <w:sz w:val="32"/>
          <w:szCs w:val="32"/>
        </w:rPr>
        <w:t>服务</w:t>
      </w:r>
    </w:p>
    <w:p w14:paraId="75DB0560">
      <w:pPr>
        <w:spacing w:line="520" w:lineRule="exact"/>
        <w:ind w:firstLine="640" w:firstLineChars="200"/>
        <w:jc w:val="left"/>
        <w:rPr>
          <w:rFonts w:hint="eastAsia" w:ascii="仿宋" w:hAnsi="仿宋" w:eastAsia="仿宋" w:cs="仿宋"/>
          <w:color w:val="auto"/>
          <w:kern w:val="0"/>
          <w:sz w:val="32"/>
          <w:szCs w:val="32"/>
          <w:lang w:eastAsia="zh-CN"/>
        </w:rPr>
      </w:pPr>
      <w:bookmarkStart w:id="0" w:name="auto_fouce_1"/>
      <w:r>
        <w:rPr>
          <w:rFonts w:hint="eastAsia" w:ascii="仿宋" w:hAnsi="仿宋" w:eastAsia="仿宋" w:cs="仿宋"/>
          <w:color w:val="auto"/>
          <w:kern w:val="0"/>
          <w:sz w:val="32"/>
          <w:szCs w:val="32"/>
        </w:rPr>
        <w:t>乙方</w:t>
      </w:r>
      <w:r>
        <w:rPr>
          <w:rFonts w:ascii="仿宋" w:hAnsi="仿宋" w:eastAsia="仿宋" w:cs="仿宋"/>
          <w:color w:val="auto"/>
          <w:kern w:val="0"/>
          <w:sz w:val="32"/>
          <w:szCs w:val="32"/>
        </w:rPr>
        <w:t>为</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提供实时全网</w:t>
      </w:r>
      <w:r>
        <w:rPr>
          <w:rFonts w:hint="eastAsia" w:ascii="仿宋" w:hAnsi="仿宋" w:eastAsia="仿宋" w:cs="仿宋"/>
          <w:color w:val="auto"/>
          <w:kern w:val="0"/>
          <w:sz w:val="32"/>
          <w:szCs w:val="32"/>
          <w:lang w:eastAsia="zh-CN"/>
        </w:rPr>
        <w:t>网络信息监测</w:t>
      </w:r>
      <w:r>
        <w:rPr>
          <w:rFonts w:ascii="仿宋" w:hAnsi="仿宋" w:eastAsia="仿宋" w:cs="仿宋"/>
          <w:color w:val="auto"/>
          <w:kern w:val="0"/>
          <w:sz w:val="32"/>
          <w:szCs w:val="32"/>
        </w:rPr>
        <w:t>。根据相关敏感关键词</w:t>
      </w:r>
      <w:r>
        <w:rPr>
          <w:rFonts w:hint="eastAsia" w:ascii="仿宋" w:hAnsi="仿宋" w:eastAsia="仿宋" w:cs="仿宋"/>
          <w:color w:val="auto"/>
          <w:kern w:val="0"/>
          <w:sz w:val="32"/>
          <w:szCs w:val="32"/>
          <w:lang w:val="en-US" w:eastAsia="zh-CN"/>
        </w:rPr>
        <w:t>或</w:t>
      </w:r>
      <w:r>
        <w:rPr>
          <w:rFonts w:hint="eastAsia" w:ascii="仿宋" w:hAnsi="仿宋" w:eastAsia="仿宋" w:cs="仿宋"/>
          <w:color w:val="auto"/>
          <w:kern w:val="0"/>
          <w:sz w:val="32"/>
          <w:szCs w:val="32"/>
          <w:lang w:eastAsia="zh-CN"/>
        </w:rPr>
        <w:t>甲方指定的清单</w:t>
      </w:r>
      <w:r>
        <w:rPr>
          <w:rFonts w:ascii="仿宋" w:hAnsi="仿宋" w:eastAsia="仿宋" w:cs="仿宋"/>
          <w:color w:val="auto"/>
          <w:kern w:val="0"/>
          <w:sz w:val="32"/>
          <w:szCs w:val="32"/>
        </w:rPr>
        <w:t>，数据覆盖</w:t>
      </w:r>
      <w:r>
        <w:rPr>
          <w:rFonts w:hint="eastAsia" w:ascii="仿宋" w:hAnsi="仿宋" w:eastAsia="仿宋" w:cs="仿宋"/>
          <w:color w:val="auto"/>
          <w:kern w:val="0"/>
          <w:sz w:val="32"/>
          <w:szCs w:val="32"/>
          <w:lang w:eastAsia="zh-CN"/>
        </w:rPr>
        <w:t>包括但不限于</w:t>
      </w:r>
      <w:r>
        <w:rPr>
          <w:rFonts w:hint="eastAsia" w:ascii="仿宋" w:hAnsi="仿宋" w:eastAsia="仿宋" w:cs="仿宋"/>
          <w:color w:val="auto"/>
          <w:kern w:val="0"/>
          <w:sz w:val="32"/>
          <w:szCs w:val="32"/>
        </w:rPr>
        <w:t>新闻网站</w:t>
      </w:r>
      <w:r>
        <w:rPr>
          <w:rFonts w:ascii="仿宋" w:hAnsi="仿宋" w:eastAsia="仿宋" w:cs="仿宋"/>
          <w:color w:val="auto"/>
          <w:kern w:val="0"/>
          <w:sz w:val="32"/>
          <w:szCs w:val="32"/>
        </w:rPr>
        <w:t>、论坛、微博、微信、</w:t>
      </w:r>
      <w:r>
        <w:rPr>
          <w:rFonts w:hint="eastAsia" w:ascii="仿宋" w:hAnsi="仿宋" w:eastAsia="仿宋" w:cs="仿宋"/>
          <w:color w:val="auto"/>
          <w:kern w:val="0"/>
          <w:sz w:val="32"/>
          <w:szCs w:val="32"/>
        </w:rPr>
        <w:t>新闻APP</w:t>
      </w:r>
      <w:r>
        <w:rPr>
          <w:rFonts w:ascii="仿宋" w:hAnsi="仿宋" w:eastAsia="仿宋" w:cs="仿宋"/>
          <w:color w:val="auto"/>
          <w:kern w:val="0"/>
          <w:sz w:val="32"/>
          <w:szCs w:val="32"/>
        </w:rPr>
        <w:t>等</w:t>
      </w:r>
      <w:r>
        <w:rPr>
          <w:rFonts w:hint="eastAsia" w:ascii="仿宋" w:hAnsi="仿宋" w:eastAsia="仿宋" w:cs="仿宋"/>
          <w:color w:val="auto"/>
          <w:kern w:val="0"/>
          <w:sz w:val="32"/>
          <w:szCs w:val="32"/>
        </w:rPr>
        <w:t>多个全网信息传播平台</w:t>
      </w:r>
      <w:r>
        <w:rPr>
          <w:rFonts w:ascii="仿宋" w:hAnsi="仿宋" w:eastAsia="仿宋" w:cs="仿宋"/>
          <w:color w:val="auto"/>
          <w:kern w:val="0"/>
          <w:sz w:val="32"/>
          <w:szCs w:val="32"/>
        </w:rPr>
        <w:t>。</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须在甲方更新关键词后24小时内完成系统调整。乙方应</w:t>
      </w:r>
      <w:r>
        <w:rPr>
          <w:rFonts w:hint="eastAsia" w:ascii="仿宋" w:hAnsi="仿宋" w:eastAsia="仿宋" w:cs="仿宋"/>
          <w:color w:val="auto"/>
          <w:kern w:val="0"/>
          <w:sz w:val="32"/>
          <w:szCs w:val="32"/>
        </w:rPr>
        <w:t>安排</w:t>
      </w:r>
      <w:r>
        <w:rPr>
          <w:rFonts w:hint="eastAsia" w:ascii="仿宋" w:hAnsi="仿宋" w:eastAsia="仿宋" w:cs="仿宋"/>
          <w:color w:val="auto"/>
          <w:kern w:val="0"/>
          <w:sz w:val="32"/>
          <w:szCs w:val="32"/>
          <w:lang w:eastAsia="zh-CN"/>
        </w:rPr>
        <w:t>具备相关资质的网络信息监测</w:t>
      </w:r>
      <w:r>
        <w:rPr>
          <w:rFonts w:ascii="仿宋" w:hAnsi="仿宋" w:eastAsia="仿宋" w:cs="仿宋"/>
          <w:color w:val="auto"/>
          <w:kern w:val="0"/>
          <w:sz w:val="32"/>
          <w:szCs w:val="32"/>
        </w:rPr>
        <w:t>师在数据分析基础上，为</w:t>
      </w:r>
      <w:r>
        <w:rPr>
          <w:rFonts w:hint="eastAsia" w:ascii="仿宋" w:hAnsi="仿宋" w:eastAsia="仿宋" w:cs="仿宋"/>
          <w:color w:val="auto"/>
          <w:kern w:val="0"/>
          <w:sz w:val="32"/>
          <w:szCs w:val="32"/>
          <w:lang w:eastAsia="zh-CN"/>
        </w:rPr>
        <w:t>甲方实时、准确地</w:t>
      </w:r>
      <w:r>
        <w:rPr>
          <w:rFonts w:hint="eastAsia" w:ascii="仿宋" w:hAnsi="仿宋" w:eastAsia="仿宋" w:cs="仿宋"/>
          <w:color w:val="auto"/>
          <w:kern w:val="0"/>
          <w:sz w:val="32"/>
          <w:szCs w:val="32"/>
        </w:rPr>
        <w:t>收集报送</w:t>
      </w:r>
      <w:r>
        <w:rPr>
          <w:rFonts w:hint="eastAsia" w:ascii="仿宋" w:hAnsi="仿宋" w:eastAsia="仿宋" w:cs="仿宋"/>
          <w:color w:val="auto"/>
          <w:kern w:val="0"/>
          <w:sz w:val="32"/>
          <w:szCs w:val="32"/>
          <w:lang w:eastAsia="zh-CN"/>
        </w:rPr>
        <w:t>网络风险</w:t>
      </w:r>
      <w:bookmarkStart w:id="24" w:name="_GoBack"/>
      <w:bookmarkEnd w:id="24"/>
      <w:r>
        <w:rPr>
          <w:rFonts w:hint="eastAsia" w:ascii="仿宋" w:hAnsi="仿宋" w:eastAsia="仿宋" w:cs="仿宋"/>
          <w:color w:val="auto"/>
          <w:kern w:val="0"/>
          <w:sz w:val="32"/>
          <w:szCs w:val="32"/>
        </w:rPr>
        <w:t>信息。</w:t>
      </w:r>
      <w:bookmarkEnd w:id="0"/>
    </w:p>
    <w:p w14:paraId="4FFA3E73">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w:t>
      </w:r>
      <w:r>
        <w:rPr>
          <w:rFonts w:hint="eastAsia" w:ascii="仿宋" w:hAnsi="仿宋" w:eastAsia="仿宋" w:cs="仿宋"/>
          <w:color w:val="auto"/>
          <w:kern w:val="0"/>
          <w:sz w:val="32"/>
          <w:szCs w:val="32"/>
        </w:rPr>
        <w:t>协助甲方做好</w:t>
      </w:r>
      <w:r>
        <w:rPr>
          <w:rFonts w:ascii="仿宋" w:hAnsi="仿宋" w:eastAsia="仿宋" w:cs="仿宋"/>
          <w:color w:val="auto"/>
          <w:kern w:val="0"/>
          <w:sz w:val="32"/>
          <w:szCs w:val="32"/>
        </w:rPr>
        <w:t>雨花台烈士陵园</w:t>
      </w:r>
      <w:r>
        <w:rPr>
          <w:rFonts w:hint="eastAsia" w:ascii="仿宋" w:hAnsi="仿宋" w:eastAsia="仿宋" w:cs="仿宋"/>
          <w:color w:val="auto"/>
          <w:kern w:val="0"/>
          <w:sz w:val="32"/>
          <w:szCs w:val="32"/>
        </w:rPr>
        <w:t>相关网络</w:t>
      </w:r>
      <w:r>
        <w:rPr>
          <w:rFonts w:ascii="仿宋" w:hAnsi="仿宋" w:eastAsia="仿宋" w:cs="仿宋"/>
          <w:color w:val="auto"/>
          <w:kern w:val="0"/>
          <w:sz w:val="32"/>
          <w:szCs w:val="32"/>
        </w:rPr>
        <w:t>信息</w:t>
      </w:r>
      <w:r>
        <w:rPr>
          <w:rFonts w:hint="eastAsia" w:ascii="仿宋" w:hAnsi="仿宋" w:eastAsia="仿宋" w:cs="仿宋"/>
          <w:color w:val="auto"/>
          <w:kern w:val="0"/>
          <w:sz w:val="32"/>
          <w:szCs w:val="32"/>
        </w:rPr>
        <w:t>监测、</w:t>
      </w:r>
      <w:r>
        <w:rPr>
          <w:rFonts w:ascii="仿宋" w:hAnsi="仿宋" w:eastAsia="仿宋" w:cs="仿宋"/>
          <w:color w:val="auto"/>
          <w:kern w:val="0"/>
          <w:sz w:val="32"/>
          <w:szCs w:val="32"/>
        </w:rPr>
        <w:t>技术支持</w:t>
      </w:r>
      <w:r>
        <w:rPr>
          <w:rFonts w:hint="eastAsia" w:ascii="仿宋" w:hAnsi="仿宋" w:eastAsia="仿宋" w:cs="仿宋"/>
          <w:color w:val="auto"/>
          <w:kern w:val="0"/>
          <w:sz w:val="32"/>
          <w:szCs w:val="32"/>
        </w:rPr>
        <w:t>，并</w:t>
      </w:r>
      <w:r>
        <w:rPr>
          <w:rFonts w:ascii="仿宋" w:hAnsi="仿宋" w:eastAsia="仿宋" w:cs="仿宋"/>
          <w:color w:val="auto"/>
          <w:kern w:val="0"/>
          <w:sz w:val="32"/>
          <w:szCs w:val="32"/>
        </w:rPr>
        <w:t>定期形成</w:t>
      </w:r>
      <w:r>
        <w:rPr>
          <w:rFonts w:hint="eastAsia" w:ascii="仿宋" w:hAnsi="仿宋" w:eastAsia="仿宋" w:cs="仿宋"/>
          <w:color w:val="auto"/>
          <w:kern w:val="0"/>
          <w:sz w:val="32"/>
          <w:szCs w:val="32"/>
        </w:rPr>
        <w:t>文件</w:t>
      </w:r>
      <w:r>
        <w:rPr>
          <w:rFonts w:ascii="仿宋" w:hAnsi="仿宋" w:eastAsia="仿宋" w:cs="仿宋"/>
          <w:color w:val="auto"/>
          <w:kern w:val="0"/>
          <w:sz w:val="32"/>
          <w:szCs w:val="32"/>
        </w:rPr>
        <w:t>报告</w:t>
      </w:r>
      <w:r>
        <w:rPr>
          <w:rFonts w:hint="eastAsia" w:ascii="仿宋" w:hAnsi="仿宋" w:eastAsia="仿宋" w:cs="仿宋"/>
          <w:color w:val="auto"/>
          <w:kern w:val="0"/>
          <w:sz w:val="32"/>
          <w:szCs w:val="32"/>
        </w:rPr>
        <w:t>。</w:t>
      </w:r>
    </w:p>
    <w:p w14:paraId="415BFDEA">
      <w:pPr>
        <w:spacing w:line="520" w:lineRule="exact"/>
        <w:ind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1.开通雨花台烈士陵园专属监测账号</w:t>
      </w:r>
      <w:r>
        <w:rPr>
          <w:rFonts w:hint="eastAsia" w:ascii="仿宋" w:hAnsi="仿宋" w:eastAsia="仿宋" w:cs="仿宋"/>
          <w:color w:val="auto"/>
          <w:kern w:val="0"/>
          <w:sz w:val="32"/>
          <w:szCs w:val="32"/>
          <w:lang w:eastAsia="zh-CN"/>
        </w:rPr>
        <w:t>。</w:t>
      </w:r>
      <w:r>
        <w:rPr>
          <w:rFonts w:ascii="仿宋" w:hAnsi="仿宋" w:eastAsia="仿宋" w:cs="仿宋"/>
          <w:color w:val="auto"/>
          <w:kern w:val="0"/>
          <w:sz w:val="32"/>
          <w:szCs w:val="32"/>
        </w:rPr>
        <w:t xml:space="preserve"> </w:t>
      </w:r>
    </w:p>
    <w:p w14:paraId="30C8740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2.</w:t>
      </w:r>
      <w:bookmarkStart w:id="1" w:name="auto_fouce_2"/>
      <w:r>
        <w:rPr>
          <w:rFonts w:hint="eastAsia" w:ascii="仿宋" w:hAnsi="仿宋" w:eastAsia="仿宋" w:cs="仿宋"/>
          <w:color w:val="auto"/>
          <w:kern w:val="0"/>
          <w:sz w:val="32"/>
          <w:szCs w:val="32"/>
        </w:rPr>
        <w:t>根据</w:t>
      </w:r>
      <w:r>
        <w:rPr>
          <w:rFonts w:ascii="仿宋" w:hAnsi="仿宋" w:eastAsia="仿宋" w:cs="仿宋"/>
          <w:color w:val="auto"/>
          <w:kern w:val="0"/>
          <w:sz w:val="32"/>
          <w:szCs w:val="32"/>
        </w:rPr>
        <w:t>甲方需求在后台</w:t>
      </w:r>
      <w:r>
        <w:rPr>
          <w:rFonts w:hint="eastAsia" w:ascii="仿宋" w:hAnsi="仿宋" w:eastAsia="仿宋" w:cs="仿宋"/>
          <w:color w:val="auto"/>
          <w:kern w:val="0"/>
          <w:sz w:val="32"/>
          <w:szCs w:val="32"/>
        </w:rPr>
        <w:t>设置网络</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关键词，并根据实际情况进行实时调整</w:t>
      </w:r>
      <w:r>
        <w:rPr>
          <w:rFonts w:hint="eastAsia" w:ascii="仿宋" w:hAnsi="仿宋" w:eastAsia="仿宋" w:cs="仿宋"/>
          <w:color w:val="auto"/>
          <w:kern w:val="0"/>
          <w:sz w:val="32"/>
          <w:szCs w:val="32"/>
          <w:lang w:eastAsia="zh-CN"/>
        </w:rPr>
        <w:t>。</w:t>
      </w:r>
      <w:bookmarkEnd w:id="1"/>
    </w:p>
    <w:p w14:paraId="30AC4CD2">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3.</w:t>
      </w:r>
      <w:bookmarkStart w:id="2" w:name="auto_fouce_3"/>
      <w:r>
        <w:rPr>
          <w:rFonts w:hint="eastAsia" w:ascii="仿宋" w:hAnsi="仿宋" w:eastAsia="仿宋" w:cs="仿宋"/>
          <w:color w:val="auto"/>
          <w:kern w:val="0"/>
          <w:sz w:val="32"/>
          <w:szCs w:val="32"/>
        </w:rPr>
        <w:t>安排专业对口人员一对一实时监测，发现相关网络</w:t>
      </w:r>
      <w:r>
        <w:rPr>
          <w:rFonts w:hint="eastAsia" w:ascii="仿宋" w:hAnsi="仿宋" w:eastAsia="仿宋" w:cs="仿宋"/>
          <w:color w:val="auto"/>
          <w:kern w:val="0"/>
          <w:sz w:val="32"/>
          <w:szCs w:val="32"/>
          <w:lang w:eastAsia="zh-CN"/>
        </w:rPr>
        <w:t>风险</w:t>
      </w:r>
      <w:r>
        <w:rPr>
          <w:rFonts w:hint="eastAsia" w:ascii="仿宋" w:hAnsi="仿宋" w:eastAsia="仿宋" w:cs="仿宋"/>
          <w:color w:val="auto"/>
          <w:kern w:val="0"/>
          <w:sz w:val="32"/>
          <w:szCs w:val="32"/>
        </w:rPr>
        <w:t>信息通过短信、微信或者电子邮件等渠道及时推送，并进行预警与研判提醒</w:t>
      </w:r>
      <w:r>
        <w:rPr>
          <w:rFonts w:hint="eastAsia" w:ascii="仿宋" w:hAnsi="仿宋" w:eastAsia="仿宋" w:cs="仿宋"/>
          <w:color w:val="auto"/>
          <w:kern w:val="0"/>
          <w:sz w:val="32"/>
          <w:szCs w:val="32"/>
          <w:lang w:eastAsia="zh-CN"/>
        </w:rPr>
        <w:t>。</w:t>
      </w:r>
      <w:bookmarkEnd w:id="2"/>
    </w:p>
    <w:p w14:paraId="14F26A21">
      <w:pPr>
        <w:spacing w:line="52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4.</w:t>
      </w:r>
      <w:bookmarkStart w:id="3" w:name="auto_fouce_4"/>
      <w:r>
        <w:rPr>
          <w:rFonts w:hint="eastAsia" w:ascii="仿宋" w:hAnsi="仿宋" w:eastAsia="仿宋" w:cs="仿宋"/>
          <w:color w:val="auto"/>
          <w:kern w:val="0"/>
          <w:sz w:val="32"/>
          <w:szCs w:val="32"/>
        </w:rPr>
        <w:t>定制网络信息报告不少于</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份。</w:t>
      </w:r>
      <w:bookmarkEnd w:id="3"/>
    </w:p>
    <w:p w14:paraId="76BF7392">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具体服务内容如下：</w:t>
      </w:r>
    </w:p>
    <w:p w14:paraId="66525600">
      <w:pPr>
        <w:numPr>
          <w:ilvl w:val="0"/>
          <w:numId w:val="1"/>
        </w:numPr>
        <w:spacing w:line="520" w:lineRule="exact"/>
        <w:ind w:left="0" w:leftChars="0" w:firstLine="643" w:firstLineChars="200"/>
        <w:jc w:val="left"/>
        <w:rPr>
          <w:rFonts w:ascii="仿宋" w:hAnsi="仿宋" w:eastAsia="仿宋" w:cs="仿宋"/>
          <w:color w:val="auto"/>
          <w:kern w:val="0"/>
          <w:sz w:val="32"/>
          <w:szCs w:val="32"/>
        </w:rPr>
      </w:pPr>
      <w:bookmarkStart w:id="4" w:name="auto_fouce_5"/>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服务时间</w:t>
      </w:r>
      <w:r>
        <w:rPr>
          <w:rFonts w:hint="eastAsia" w:ascii="仿宋" w:hAnsi="仿宋" w:eastAsia="仿宋" w:cs="仿宋"/>
          <w:color w:val="auto"/>
          <w:sz w:val="32"/>
          <w:szCs w:val="32"/>
        </w:rPr>
        <w:t>：工作时间（9：00-18：00）为人工实时监测。其余时间段为机器自动监控，人工整理后推送；</w:t>
      </w:r>
      <w:bookmarkEnd w:id="4"/>
    </w:p>
    <w:p w14:paraId="61F976BF">
      <w:pPr>
        <w:numPr>
          <w:ilvl w:val="0"/>
          <w:numId w:val="1"/>
        </w:numPr>
        <w:spacing w:line="520" w:lineRule="exact"/>
        <w:ind w:left="0" w:leftChars="0" w:firstLine="643" w:firstLineChars="200"/>
        <w:jc w:val="left"/>
        <w:rPr>
          <w:rFonts w:ascii="仿宋" w:hAnsi="仿宋" w:eastAsia="仿宋" w:cs="仿宋"/>
          <w:color w:val="FF0000"/>
          <w:kern w:val="0"/>
          <w:sz w:val="32"/>
          <w:szCs w:val="32"/>
        </w:rPr>
      </w:pPr>
      <w:r>
        <w:rPr>
          <w:rFonts w:hint="eastAsia" w:ascii="仿宋" w:hAnsi="仿宋" w:eastAsia="仿宋" w:cs="仿宋"/>
          <w:b/>
          <w:color w:val="auto"/>
          <w:sz w:val="32"/>
          <w:szCs w:val="32"/>
          <w:lang w:eastAsia="zh-CN"/>
        </w:rPr>
        <w:t>网络信息监测</w:t>
      </w:r>
      <w:r>
        <w:rPr>
          <w:rFonts w:hint="eastAsia" w:ascii="仿宋" w:hAnsi="仿宋" w:eastAsia="仿宋" w:cs="仿宋"/>
          <w:b/>
          <w:color w:val="auto"/>
          <w:sz w:val="32"/>
          <w:szCs w:val="32"/>
        </w:rPr>
        <w:t>服务人员</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由乙方安排</w:t>
      </w:r>
      <w:r>
        <w:rPr>
          <w:rFonts w:ascii="仿宋" w:hAnsi="仿宋" w:eastAsia="仿宋" w:cs="仿宋"/>
          <w:color w:val="auto"/>
          <w:kern w:val="0"/>
          <w:sz w:val="32"/>
          <w:szCs w:val="32"/>
        </w:rPr>
        <w:t>专业</w:t>
      </w:r>
      <w:r>
        <w:rPr>
          <w:rFonts w:hint="eastAsia" w:ascii="仿宋" w:hAnsi="仿宋" w:eastAsia="仿宋" w:cs="仿宋"/>
          <w:color w:val="auto"/>
          <w:kern w:val="0"/>
          <w:sz w:val="32"/>
          <w:szCs w:val="32"/>
        </w:rPr>
        <w:t>分析师组建团队，</w:t>
      </w:r>
      <w:r>
        <w:rPr>
          <w:rFonts w:ascii="仿宋" w:hAnsi="仿宋" w:eastAsia="仿宋" w:cs="仿宋"/>
          <w:color w:val="auto"/>
          <w:kern w:val="0"/>
          <w:sz w:val="32"/>
          <w:szCs w:val="32"/>
        </w:rPr>
        <w:t>点对</w:t>
      </w:r>
      <w:r>
        <w:rPr>
          <w:rFonts w:hint="eastAsia" w:ascii="仿宋" w:hAnsi="仿宋" w:eastAsia="仿宋" w:cs="仿宋"/>
          <w:color w:val="auto"/>
          <w:kern w:val="0"/>
          <w:sz w:val="32"/>
          <w:szCs w:val="32"/>
          <w:lang w:eastAsia="zh-CN"/>
        </w:rPr>
        <w:t>点</w:t>
      </w:r>
      <w:r>
        <w:rPr>
          <w:rFonts w:ascii="仿宋" w:hAnsi="仿宋" w:eastAsia="仿宋" w:cs="仿宋"/>
          <w:color w:val="auto"/>
          <w:kern w:val="0"/>
          <w:sz w:val="32"/>
          <w:szCs w:val="32"/>
        </w:rPr>
        <w:t>对</w:t>
      </w:r>
      <w:r>
        <w:rPr>
          <w:rFonts w:hint="eastAsia" w:ascii="仿宋" w:hAnsi="仿宋" w:eastAsia="仿宋" w:cs="仿宋"/>
          <w:color w:val="auto"/>
          <w:kern w:val="0"/>
          <w:sz w:val="32"/>
          <w:szCs w:val="32"/>
        </w:rPr>
        <w:t>甲方</w:t>
      </w:r>
      <w:r>
        <w:rPr>
          <w:rFonts w:ascii="仿宋" w:hAnsi="仿宋" w:eastAsia="仿宋" w:cs="仿宋"/>
          <w:color w:val="auto"/>
          <w:kern w:val="0"/>
          <w:sz w:val="32"/>
          <w:szCs w:val="32"/>
        </w:rPr>
        <w:t>进行服务。建立微信、QQ、电话等实时联动机制，实时通报相关</w:t>
      </w:r>
      <w:r>
        <w:rPr>
          <w:rFonts w:hint="eastAsia" w:ascii="仿宋" w:hAnsi="仿宋" w:eastAsia="仿宋" w:cs="仿宋"/>
          <w:color w:val="auto"/>
          <w:kern w:val="0"/>
          <w:sz w:val="32"/>
          <w:szCs w:val="32"/>
          <w:lang w:eastAsia="zh-CN"/>
        </w:rPr>
        <w:t>情况</w:t>
      </w:r>
      <w:r>
        <w:rPr>
          <w:rFonts w:ascii="仿宋" w:hAnsi="仿宋" w:eastAsia="仿宋" w:cs="仿宋"/>
          <w:color w:val="auto"/>
          <w:kern w:val="0"/>
          <w:sz w:val="32"/>
          <w:szCs w:val="32"/>
        </w:rPr>
        <w:t>，并给予相关处置建议。</w:t>
      </w:r>
      <w:bookmarkStart w:id="5" w:name="auto_fouce_6"/>
    </w:p>
    <w:p w14:paraId="2C736099">
      <w:pPr>
        <w:numPr>
          <w:ilvl w:val="0"/>
          <w:numId w:val="1"/>
        </w:numPr>
        <w:spacing w:line="520" w:lineRule="exact"/>
        <w:ind w:left="0"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lang w:eastAsia="zh-CN"/>
        </w:rPr>
        <w:t>乙方承诺其服务团队核心成员（分析师、技术专员）未经甲方书面同意不得更换，否则每更换一人需向甲方支付合同总价款10%的违约金。</w:t>
      </w:r>
      <w:bookmarkEnd w:id="5"/>
    </w:p>
    <w:p w14:paraId="12A88EE2">
      <w:pPr>
        <w:numPr>
          <w:ilvl w:val="0"/>
          <w:numId w:val="1"/>
        </w:numPr>
        <w:spacing w:line="520" w:lineRule="exact"/>
        <w:ind w:left="0" w:leftChars="0" w:firstLine="643" w:firstLineChars="200"/>
        <w:jc w:val="left"/>
        <w:rPr>
          <w:rFonts w:ascii="仿宋" w:hAnsi="仿宋" w:eastAsia="仿宋" w:cs="仿宋"/>
          <w:color w:val="auto"/>
          <w:kern w:val="0"/>
          <w:sz w:val="32"/>
          <w:szCs w:val="32"/>
        </w:rPr>
      </w:pPr>
      <w:bookmarkStart w:id="6" w:name="auto_fouce_7"/>
      <w:r>
        <w:rPr>
          <w:rFonts w:hint="eastAsia" w:ascii="仿宋" w:hAnsi="仿宋" w:eastAsia="仿宋" w:cs="仿宋"/>
          <w:b/>
          <w:color w:val="auto"/>
          <w:sz w:val="32"/>
          <w:szCs w:val="32"/>
        </w:rPr>
        <w:t>大数据报告：</w:t>
      </w:r>
      <w:r>
        <w:rPr>
          <w:rFonts w:hint="eastAsia" w:ascii="仿宋" w:hAnsi="仿宋" w:eastAsia="仿宋" w:cs="仿宋"/>
          <w:color w:val="auto"/>
          <w:kern w:val="0"/>
          <w:sz w:val="32"/>
          <w:szCs w:val="32"/>
        </w:rPr>
        <w:t>服务期间，乙方为甲方提供服务期内</w:t>
      </w:r>
      <w:r>
        <w:rPr>
          <w:rFonts w:hint="eastAsia" w:ascii="仿宋" w:hAnsi="仿宋" w:eastAsia="仿宋" w:cs="仿宋"/>
          <w:b/>
          <w:color w:val="auto"/>
          <w:kern w:val="0"/>
          <w:sz w:val="32"/>
          <w:szCs w:val="32"/>
          <w:lang w:val="en-US" w:eastAsia="zh-CN"/>
        </w:rPr>
        <w:t>6份</w:t>
      </w:r>
      <w:r>
        <w:rPr>
          <w:rFonts w:ascii="仿宋" w:hAnsi="仿宋" w:eastAsia="仿宋" w:cs="仿宋"/>
          <w:b/>
          <w:color w:val="auto"/>
          <w:kern w:val="0"/>
          <w:sz w:val="32"/>
          <w:szCs w:val="32"/>
        </w:rPr>
        <w:t>大数据</w:t>
      </w:r>
      <w:r>
        <w:rPr>
          <w:rFonts w:hint="eastAsia" w:ascii="仿宋" w:hAnsi="仿宋" w:eastAsia="仿宋" w:cs="仿宋"/>
          <w:b/>
          <w:color w:val="auto"/>
          <w:kern w:val="0"/>
          <w:sz w:val="32"/>
          <w:szCs w:val="32"/>
          <w:lang w:eastAsia="zh-CN"/>
        </w:rPr>
        <w:t>情况</w:t>
      </w:r>
      <w:r>
        <w:rPr>
          <w:rFonts w:hint="eastAsia" w:ascii="仿宋" w:hAnsi="仿宋" w:eastAsia="仿宋" w:cs="仿宋"/>
          <w:b/>
          <w:color w:val="auto"/>
          <w:kern w:val="0"/>
          <w:sz w:val="32"/>
          <w:szCs w:val="32"/>
          <w:lang w:val="en-US" w:eastAsia="zh-CN"/>
        </w:rPr>
        <w:t>报告</w:t>
      </w:r>
      <w:r>
        <w:rPr>
          <w:rFonts w:ascii="仿宋" w:hAnsi="仿宋" w:eastAsia="仿宋" w:cs="仿宋"/>
          <w:b/>
          <w:color w:val="auto"/>
          <w:kern w:val="0"/>
          <w:sz w:val="32"/>
          <w:szCs w:val="32"/>
        </w:rPr>
        <w:t>（1</w:t>
      </w:r>
      <w:r>
        <w:rPr>
          <w:rFonts w:hint="eastAsia" w:ascii="仿宋" w:hAnsi="仿宋" w:eastAsia="仿宋" w:cs="仿宋"/>
          <w:b/>
          <w:color w:val="auto"/>
          <w:kern w:val="0"/>
          <w:sz w:val="32"/>
          <w:szCs w:val="32"/>
          <w:lang w:eastAsia="zh-CN"/>
        </w:rPr>
        <w:t>份</w:t>
      </w:r>
      <w:r>
        <w:rPr>
          <w:rFonts w:ascii="仿宋" w:hAnsi="仿宋" w:eastAsia="仿宋" w:cs="仿宋"/>
          <w:b/>
          <w:color w:val="auto"/>
          <w:kern w:val="0"/>
          <w:sz w:val="32"/>
          <w:szCs w:val="32"/>
        </w:rPr>
        <w:t>年报</w:t>
      </w:r>
      <w:r>
        <w:rPr>
          <w:rFonts w:hint="eastAsia" w:ascii="仿宋" w:hAnsi="仿宋" w:eastAsia="仿宋" w:cs="仿宋"/>
          <w:b/>
          <w:color w:val="auto"/>
          <w:kern w:val="0"/>
          <w:sz w:val="32"/>
          <w:szCs w:val="32"/>
          <w:lang w:eastAsia="zh-CN"/>
        </w:rPr>
        <w:t>、</w:t>
      </w:r>
      <w:r>
        <w:rPr>
          <w:rFonts w:hint="eastAsia" w:ascii="仿宋" w:hAnsi="仿宋" w:eastAsia="仿宋" w:cs="仿宋"/>
          <w:b/>
          <w:color w:val="auto"/>
          <w:kern w:val="0"/>
          <w:sz w:val="32"/>
          <w:szCs w:val="32"/>
          <w:lang w:val="en-US" w:eastAsia="zh-CN"/>
        </w:rPr>
        <w:t>5份季度报告</w:t>
      </w:r>
      <w:r>
        <w:rPr>
          <w:rFonts w:ascii="仿宋" w:hAnsi="仿宋" w:eastAsia="仿宋" w:cs="仿宋"/>
          <w:b/>
          <w:color w:val="auto"/>
          <w:kern w:val="0"/>
          <w:sz w:val="32"/>
          <w:szCs w:val="32"/>
        </w:rPr>
        <w:t>）。</w:t>
      </w:r>
      <w:r>
        <w:rPr>
          <w:rFonts w:hint="eastAsia" w:ascii="仿宋" w:hAnsi="仿宋" w:eastAsia="仿宋" w:cs="仿宋"/>
          <w:b/>
          <w:color w:val="auto"/>
          <w:kern w:val="0"/>
          <w:sz w:val="32"/>
          <w:szCs w:val="32"/>
          <w:lang w:eastAsia="zh-CN"/>
        </w:rPr>
        <w:t>季度报告应于每季度结束后10个工作日内提交，年报应于服务期结束后15个工作日内提交</w:t>
      </w:r>
      <w:bookmarkEnd w:id="6"/>
      <w:r>
        <w:rPr>
          <w:rFonts w:hint="eastAsia" w:ascii="仿宋" w:hAnsi="仿宋" w:eastAsia="仿宋" w:cs="仿宋"/>
          <w:b/>
          <w:color w:val="auto"/>
          <w:kern w:val="0"/>
          <w:sz w:val="32"/>
          <w:szCs w:val="32"/>
          <w:lang w:eastAsia="zh-CN"/>
        </w:rPr>
        <w:t>。</w:t>
      </w:r>
    </w:p>
    <w:p w14:paraId="02661BA0">
      <w:pPr>
        <w:pStyle w:val="20"/>
        <w:numPr>
          <w:ilvl w:val="0"/>
          <w:numId w:val="0"/>
        </w:numPr>
        <w:spacing w:line="520" w:lineRule="exact"/>
        <w:ind w:leftChars="0" w:firstLine="640" w:firstLineChars="200"/>
        <w:jc w:val="left"/>
        <w:rPr>
          <w:rFonts w:ascii="仿宋" w:hAnsi="仿宋" w:eastAsia="仿宋" w:cs="仿宋"/>
          <w:color w:val="auto"/>
          <w:kern w:val="0"/>
          <w:sz w:val="32"/>
          <w:szCs w:val="32"/>
        </w:rPr>
      </w:pPr>
      <w:r>
        <w:rPr>
          <w:rFonts w:hint="eastAsia" w:ascii="仿宋" w:hAnsi="仿宋" w:eastAsia="仿宋" w:cs="仿宋"/>
          <w:color w:val="auto"/>
          <w:kern w:val="0"/>
          <w:sz w:val="32"/>
          <w:szCs w:val="32"/>
        </w:rPr>
        <w:t>报告内容包括，监测期内</w:t>
      </w:r>
      <w:r>
        <w:rPr>
          <w:rFonts w:hint="eastAsia" w:ascii="仿宋" w:hAnsi="仿宋" w:eastAsia="仿宋" w:cs="仿宋"/>
          <w:color w:val="auto"/>
          <w:kern w:val="0"/>
          <w:sz w:val="32"/>
          <w:szCs w:val="32"/>
          <w:lang w:eastAsia="zh-CN"/>
        </w:rPr>
        <w:t>网络信息监测</w:t>
      </w:r>
      <w:r>
        <w:rPr>
          <w:rFonts w:hint="eastAsia" w:ascii="仿宋" w:hAnsi="仿宋" w:eastAsia="仿宋" w:cs="仿宋"/>
          <w:color w:val="auto"/>
          <w:kern w:val="0"/>
          <w:sz w:val="32"/>
          <w:szCs w:val="32"/>
        </w:rPr>
        <w:t>综述、正面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以及选摘、负面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以及应对、下阶段</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研判及建议加强对</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走势的深入分析，提出有效得力的对策建议；对涉负面</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内容及时给予应对意见，围绕重点、跟踪</w:t>
      </w:r>
      <w:r>
        <w:rPr>
          <w:rFonts w:hint="eastAsia" w:ascii="仿宋" w:hAnsi="仿宋" w:eastAsia="仿宋" w:cs="仿宋"/>
          <w:color w:val="auto"/>
          <w:kern w:val="0"/>
          <w:sz w:val="32"/>
          <w:szCs w:val="32"/>
          <w:lang w:eastAsia="zh-CN"/>
        </w:rPr>
        <w:t>热</w:t>
      </w:r>
      <w:r>
        <w:rPr>
          <w:rFonts w:hint="eastAsia" w:ascii="仿宋" w:hAnsi="仿宋" w:eastAsia="仿宋" w:cs="仿宋"/>
          <w:color w:val="auto"/>
          <w:kern w:val="0"/>
          <w:sz w:val="32"/>
          <w:szCs w:val="32"/>
        </w:rPr>
        <w:t>点、把握难点，为决策服务</w:t>
      </w:r>
      <w:r>
        <w:rPr>
          <w:rFonts w:ascii="仿宋" w:hAnsi="仿宋" w:eastAsia="仿宋" w:cs="仿宋"/>
          <w:color w:val="auto"/>
          <w:kern w:val="0"/>
          <w:sz w:val="32"/>
          <w:szCs w:val="32"/>
        </w:rPr>
        <w:t>提供专业支持。</w:t>
      </w:r>
      <w:r>
        <w:rPr>
          <w:rFonts w:hint="eastAsia" w:ascii="仿宋" w:hAnsi="仿宋" w:eastAsia="仿宋" w:cs="仿宋"/>
          <w:color w:val="auto"/>
          <w:kern w:val="0"/>
          <w:sz w:val="32"/>
          <w:szCs w:val="32"/>
        </w:rPr>
        <w:t>（可根据实际需求，对上述内容进行实时调整）。</w:t>
      </w:r>
    </w:p>
    <w:p w14:paraId="6CC33C1B">
      <w:pPr>
        <w:spacing w:line="520" w:lineRule="exact"/>
        <w:ind w:firstLine="643" w:firstLineChars="200"/>
        <w:rPr>
          <w:rFonts w:hint="default"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rPr>
        <w:t>服务</w:t>
      </w:r>
      <w:r>
        <w:rPr>
          <w:rFonts w:hint="eastAsia" w:ascii="仿宋" w:hAnsi="仿宋" w:eastAsia="仿宋" w:cs="仿宋"/>
          <w:b/>
          <w:color w:val="auto"/>
          <w:kern w:val="0"/>
          <w:sz w:val="32"/>
          <w:szCs w:val="32"/>
          <w:lang w:val="en-US" w:eastAsia="zh-CN"/>
        </w:rPr>
        <w:t>要求如下：</w:t>
      </w:r>
    </w:p>
    <w:p w14:paraId="4BB23BC4">
      <w:pPr>
        <w:spacing w:line="52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根据甲方需求，乙方提供及时、准确、全面、有针对性的大数据服务。服务中秉承以下原则：</w:t>
      </w:r>
    </w:p>
    <w:p w14:paraId="75AADF55">
      <w:pPr>
        <w:numPr>
          <w:ilvl w:val="0"/>
          <w:numId w:val="2"/>
        </w:numPr>
        <w:spacing w:line="520" w:lineRule="exact"/>
        <w:ind w:left="0" w:leftChars="0" w:firstLine="643" w:firstLineChars="200"/>
        <w:rPr>
          <w:rFonts w:ascii="仿宋" w:hAnsi="仿宋" w:eastAsia="仿宋" w:cs="仿宋"/>
          <w:color w:val="auto"/>
          <w:kern w:val="0"/>
          <w:sz w:val="32"/>
          <w:szCs w:val="32"/>
        </w:rPr>
      </w:pPr>
      <w:bookmarkStart w:id="7" w:name="auto_fouce_8"/>
      <w:r>
        <w:rPr>
          <w:rFonts w:hint="eastAsia" w:ascii="仿宋" w:hAnsi="仿宋" w:eastAsia="仿宋" w:cs="仿宋"/>
          <w:b/>
          <w:color w:val="auto"/>
          <w:kern w:val="0"/>
          <w:sz w:val="32"/>
          <w:szCs w:val="32"/>
        </w:rPr>
        <w:t>及时性原则</w:t>
      </w:r>
      <w:r>
        <w:rPr>
          <w:rFonts w:hint="eastAsia" w:ascii="仿宋" w:hAnsi="仿宋" w:eastAsia="仿宋" w:cs="仿宋"/>
          <w:color w:val="auto"/>
          <w:kern w:val="0"/>
          <w:sz w:val="32"/>
          <w:szCs w:val="32"/>
        </w:rPr>
        <w:t>。乙方</w:t>
      </w:r>
      <w:r>
        <w:rPr>
          <w:rFonts w:hint="eastAsia" w:ascii="仿宋" w:hAnsi="仿宋" w:eastAsia="仿宋" w:cs="仿宋"/>
          <w:color w:val="auto"/>
          <w:kern w:val="0"/>
          <w:sz w:val="32"/>
          <w:szCs w:val="32"/>
          <w:lang w:eastAsia="zh-CN"/>
        </w:rPr>
        <w:t>须确保所有</w:t>
      </w:r>
      <w:r>
        <w:rPr>
          <w:rFonts w:hint="eastAsia" w:ascii="仿宋" w:hAnsi="仿宋" w:eastAsia="仿宋" w:cs="仿宋"/>
          <w:color w:val="auto"/>
          <w:kern w:val="0"/>
          <w:sz w:val="32"/>
          <w:szCs w:val="32"/>
        </w:rPr>
        <w:t>重大</w:t>
      </w:r>
      <w:r>
        <w:rPr>
          <w:rFonts w:hint="eastAsia" w:ascii="仿宋" w:hAnsi="仿宋" w:eastAsia="仿宋" w:cs="仿宋"/>
          <w:color w:val="auto"/>
          <w:kern w:val="0"/>
          <w:sz w:val="32"/>
          <w:szCs w:val="32"/>
          <w:lang w:eastAsia="zh-CN"/>
        </w:rPr>
        <w:t>负面网络信息</w:t>
      </w:r>
      <w:r>
        <w:rPr>
          <w:rFonts w:hint="eastAsia" w:ascii="仿宋" w:hAnsi="仿宋" w:eastAsia="仿宋" w:cs="仿宋"/>
          <w:color w:val="auto"/>
          <w:kern w:val="0"/>
          <w:sz w:val="32"/>
          <w:szCs w:val="32"/>
        </w:rPr>
        <w:t>在公开网络发生后</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小时内提供</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lang w:eastAsia="zh-CN"/>
        </w:rPr>
        <w:t>监测</w:t>
      </w:r>
      <w:r>
        <w:rPr>
          <w:rFonts w:hint="eastAsia" w:ascii="仿宋" w:hAnsi="仿宋" w:eastAsia="仿宋" w:cs="仿宋"/>
          <w:color w:val="auto"/>
          <w:kern w:val="0"/>
          <w:sz w:val="32"/>
          <w:szCs w:val="32"/>
        </w:rPr>
        <w:t>数据</w:t>
      </w:r>
      <w:r>
        <w:rPr>
          <w:rFonts w:hint="eastAsia" w:ascii="仿宋" w:hAnsi="仿宋" w:eastAsia="仿宋" w:cs="仿宋"/>
          <w:color w:val="auto"/>
          <w:kern w:val="0"/>
          <w:sz w:val="32"/>
          <w:szCs w:val="32"/>
          <w:lang w:eastAsia="zh-CN"/>
        </w:rPr>
        <w:t>及初步分析报告，并在3小时内提交完整应对方案。</w:t>
      </w:r>
      <w:bookmarkEnd w:id="7"/>
    </w:p>
    <w:p w14:paraId="32A2D60A">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准确性原则。</w:t>
      </w:r>
      <w:r>
        <w:rPr>
          <w:rFonts w:hint="eastAsia" w:ascii="仿宋" w:hAnsi="仿宋" w:eastAsia="仿宋" w:cs="仿宋"/>
          <w:color w:val="auto"/>
          <w:kern w:val="0"/>
          <w:sz w:val="32"/>
          <w:szCs w:val="32"/>
        </w:rPr>
        <w:t>乙方提供数据来自微博/微信公众号/APP（重点新闻客户端）/门户网站/论坛/贴吧等，确保数据来源明确；</w:t>
      </w:r>
    </w:p>
    <w:p w14:paraId="27599A7D">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全面性原则。</w:t>
      </w:r>
      <w:r>
        <w:rPr>
          <w:rFonts w:hint="eastAsia" w:ascii="仿宋" w:hAnsi="仿宋" w:eastAsia="仿宋" w:cs="仿宋"/>
          <w:color w:val="auto"/>
          <w:kern w:val="0"/>
          <w:sz w:val="32"/>
          <w:szCs w:val="32"/>
        </w:rPr>
        <w:t>根据甲方需求，监测范围包括但不限于微博/微信公众号/APP（重点新闻客户端）/门户网站/论坛/贴吧；</w:t>
      </w:r>
    </w:p>
    <w:p w14:paraId="06DA3822">
      <w:pPr>
        <w:numPr>
          <w:ilvl w:val="0"/>
          <w:numId w:val="2"/>
        </w:numPr>
        <w:spacing w:line="520" w:lineRule="exact"/>
        <w:ind w:left="0" w:leftChars="0" w:firstLine="643" w:firstLineChars="200"/>
        <w:rPr>
          <w:rFonts w:ascii="仿宋" w:hAnsi="仿宋" w:eastAsia="仿宋" w:cs="仿宋"/>
          <w:color w:val="auto"/>
          <w:kern w:val="0"/>
          <w:sz w:val="32"/>
          <w:szCs w:val="32"/>
        </w:rPr>
      </w:pPr>
      <w:r>
        <w:rPr>
          <w:rFonts w:hint="eastAsia" w:ascii="仿宋" w:hAnsi="仿宋" w:eastAsia="仿宋" w:cs="仿宋"/>
          <w:b/>
          <w:color w:val="auto"/>
          <w:kern w:val="0"/>
          <w:sz w:val="32"/>
          <w:szCs w:val="32"/>
        </w:rPr>
        <w:t>针对性原则。</w:t>
      </w:r>
      <w:r>
        <w:rPr>
          <w:rFonts w:hint="eastAsia" w:ascii="仿宋" w:hAnsi="仿宋" w:eastAsia="仿宋" w:cs="仿宋"/>
          <w:color w:val="auto"/>
          <w:kern w:val="0"/>
          <w:sz w:val="32"/>
          <w:szCs w:val="32"/>
          <w:lang w:eastAsia="zh-CN"/>
        </w:rPr>
        <w:t>网络信息</w:t>
      </w:r>
      <w:r>
        <w:rPr>
          <w:rFonts w:hint="eastAsia" w:ascii="仿宋" w:hAnsi="仿宋" w:eastAsia="仿宋" w:cs="仿宋"/>
          <w:color w:val="auto"/>
          <w:kern w:val="0"/>
          <w:sz w:val="32"/>
          <w:szCs w:val="32"/>
        </w:rPr>
        <w:t>报告根据甲方需求和特点定制，具有独特的参考性。</w:t>
      </w:r>
    </w:p>
    <w:p w14:paraId="12AC3F83">
      <w:pPr>
        <w:pStyle w:val="20"/>
        <w:numPr>
          <w:ilvl w:val="-1"/>
          <w:numId w:val="0"/>
        </w:numPr>
        <w:spacing w:line="520" w:lineRule="exact"/>
        <w:ind w:left="0" w:leftChars="0"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二、</w:t>
      </w:r>
      <w:r>
        <w:rPr>
          <w:rFonts w:hint="eastAsia" w:ascii="仿宋" w:hAnsi="仿宋" w:eastAsia="仿宋" w:cs="仿宋"/>
          <w:b/>
          <w:color w:val="auto"/>
          <w:kern w:val="0"/>
          <w:sz w:val="32"/>
          <w:szCs w:val="32"/>
        </w:rPr>
        <w:t>价格与服务时间</w:t>
      </w:r>
    </w:p>
    <w:p w14:paraId="492C3F73">
      <w:pPr>
        <w:spacing w:line="520" w:lineRule="exact"/>
        <w:ind w:firstLine="640" w:firstLineChars="200"/>
        <w:rPr>
          <w:rFonts w:hint="default" w:ascii="仿宋" w:hAnsi="仿宋" w:eastAsia="仿宋" w:cs="仿宋"/>
          <w:color w:val="auto"/>
          <w:kern w:val="0"/>
          <w:sz w:val="32"/>
          <w:szCs w:val="32"/>
          <w:u w:val="single"/>
          <w:lang w:val="en-US" w:eastAsia="zh-CN"/>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价格</w:t>
      </w:r>
      <w:r>
        <w:rPr>
          <w:rFonts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u w:val="single"/>
          <w:lang w:val="en-US" w:eastAsia="zh-CN"/>
        </w:rPr>
        <w:t xml:space="preserve">                 元人民币</w:t>
      </w:r>
    </w:p>
    <w:p w14:paraId="3A407679">
      <w:pPr>
        <w:spacing w:line="520" w:lineRule="exact"/>
        <w:ind w:firstLine="640" w:firstLineChars="200"/>
        <w:rPr>
          <w:rFonts w:ascii="仿宋" w:hAnsi="仿宋" w:eastAsia="仿宋" w:cs="仿宋"/>
          <w:color w:val="auto"/>
          <w:kern w:val="0"/>
          <w:sz w:val="32"/>
          <w:szCs w:val="32"/>
        </w:rPr>
      </w:pPr>
      <w:bookmarkStart w:id="8" w:name="auto_fouce_10"/>
      <w:r>
        <w:rPr>
          <w:rFonts w:hint="eastAsia" w:ascii="仿宋" w:hAnsi="仿宋" w:eastAsia="仿宋" w:cs="仿宋"/>
          <w:color w:val="auto"/>
          <w:kern w:val="0"/>
          <w:sz w:val="32"/>
          <w:szCs w:val="32"/>
        </w:rPr>
        <w:t>涵盖：服务团队共有</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名</w:t>
      </w:r>
      <w:r>
        <w:rPr>
          <w:rFonts w:hint="eastAsia" w:ascii="仿宋" w:hAnsi="仿宋" w:eastAsia="仿宋" w:cs="仿宋"/>
          <w:color w:val="auto"/>
          <w:kern w:val="0"/>
          <w:sz w:val="32"/>
          <w:szCs w:val="32"/>
          <w:lang w:eastAsia="zh-CN"/>
        </w:rPr>
        <w:t>分析师</w:t>
      </w:r>
      <w:r>
        <w:rPr>
          <w:rFonts w:hint="eastAsia" w:ascii="仿宋" w:hAnsi="仿宋" w:eastAsia="仿宋" w:cs="仿宋"/>
          <w:color w:val="auto"/>
          <w:kern w:val="0"/>
          <w:sz w:val="32"/>
          <w:szCs w:val="32"/>
        </w:rPr>
        <w:t>负责服务；技术</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rPr>
        <w:t>名，提供技术支持。（本费用包含运维期间人员加班费、交通费等）</w:t>
      </w:r>
      <w:bookmarkEnd w:id="8"/>
      <w:r>
        <w:rPr>
          <w:rFonts w:hint="eastAsia" w:ascii="仿宋" w:hAnsi="仿宋" w:eastAsia="仿宋" w:cs="仿宋"/>
          <w:color w:val="auto"/>
          <w:kern w:val="0"/>
          <w:sz w:val="32"/>
          <w:szCs w:val="32"/>
          <w:lang w:eastAsia="zh-CN"/>
        </w:rPr>
        <w:t>如需更换其他服务人员，须提前3个工作日书面通知甲方并获得同意。</w:t>
      </w:r>
    </w:p>
    <w:p w14:paraId="4EBD2968">
      <w:pPr>
        <w:spacing w:line="520" w:lineRule="exact"/>
        <w:ind w:firstLine="640" w:firstLineChars="200"/>
        <w:rPr>
          <w:rFonts w:hint="eastAsia" w:ascii="仿宋" w:hAnsi="仿宋" w:eastAsia="仿宋" w:cs="仿宋"/>
          <w:color w:val="FF0000"/>
          <w:kern w:val="0"/>
          <w:sz w:val="32"/>
          <w:szCs w:val="32"/>
          <w:u w:val="single"/>
          <w:lang w:eastAsia="zh-CN"/>
        </w:rPr>
      </w:pPr>
      <w:r>
        <w:rPr>
          <w:rFonts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kern w:val="0"/>
          <w:sz w:val="32"/>
          <w:szCs w:val="32"/>
        </w:rPr>
        <w:t>服务时间</w:t>
      </w:r>
      <w:r>
        <w:rPr>
          <w:rFonts w:ascii="仿宋" w:hAnsi="仿宋" w:eastAsia="仿宋" w:cs="仿宋"/>
          <w:color w:val="auto"/>
          <w:kern w:val="0"/>
          <w:sz w:val="32"/>
          <w:szCs w:val="32"/>
        </w:rPr>
        <w:t>：</w:t>
      </w:r>
      <w:r>
        <w:rPr>
          <w:rFonts w:hint="eastAsia" w:ascii="仿宋" w:hAnsi="仿宋" w:eastAsia="仿宋" w:cs="仿宋"/>
          <w:color w:val="auto"/>
          <w:kern w:val="0"/>
          <w:sz w:val="32"/>
          <w:szCs w:val="32"/>
          <w:u w:val="single"/>
          <w:lang w:eastAsia="zh-CN"/>
        </w:rPr>
        <w:t>自合同签订之日起至</w:t>
      </w:r>
      <w:r>
        <w:rPr>
          <w:rFonts w:hint="eastAsia" w:ascii="仿宋" w:hAnsi="仿宋" w:eastAsia="仿宋" w:cs="仿宋"/>
          <w:color w:val="auto"/>
          <w:kern w:val="0"/>
          <w:sz w:val="32"/>
          <w:szCs w:val="32"/>
          <w:u w:val="single"/>
        </w:rPr>
        <w:t>202</w:t>
      </w:r>
      <w:r>
        <w:rPr>
          <w:rFonts w:hint="eastAsia" w:ascii="仿宋" w:hAnsi="仿宋" w:eastAsia="仿宋" w:cs="仿宋"/>
          <w:color w:val="auto"/>
          <w:kern w:val="0"/>
          <w:sz w:val="32"/>
          <w:szCs w:val="32"/>
          <w:u w:val="single"/>
          <w:lang w:val="en-US" w:eastAsia="zh-CN"/>
        </w:rPr>
        <w:t>6</w:t>
      </w:r>
      <w:r>
        <w:rPr>
          <w:rFonts w:hint="eastAsia" w:ascii="仿宋" w:hAnsi="仿宋" w:eastAsia="仿宋" w:cs="仿宋"/>
          <w:color w:val="auto"/>
          <w:kern w:val="0"/>
          <w:sz w:val="32"/>
          <w:szCs w:val="32"/>
          <w:u w:val="single"/>
        </w:rPr>
        <w:t>年</w:t>
      </w:r>
      <w:r>
        <w:rPr>
          <w:rFonts w:hint="eastAsia" w:ascii="仿宋" w:hAnsi="仿宋" w:eastAsia="仿宋" w:cs="仿宋"/>
          <w:color w:val="auto"/>
          <w:kern w:val="0"/>
          <w:sz w:val="32"/>
          <w:szCs w:val="32"/>
          <w:u w:val="single"/>
          <w:lang w:val="en-US" w:eastAsia="zh-CN"/>
        </w:rPr>
        <w:t>11</w:t>
      </w:r>
      <w:r>
        <w:rPr>
          <w:rFonts w:hint="eastAsia" w:ascii="仿宋" w:hAnsi="仿宋" w:eastAsia="仿宋" w:cs="仿宋"/>
          <w:color w:val="auto"/>
          <w:kern w:val="0"/>
          <w:sz w:val="32"/>
          <w:szCs w:val="32"/>
          <w:u w:val="single"/>
        </w:rPr>
        <w:t>月</w:t>
      </w:r>
      <w:r>
        <w:rPr>
          <w:rFonts w:hint="eastAsia" w:ascii="仿宋" w:hAnsi="仿宋" w:eastAsia="仿宋" w:cs="仿宋"/>
          <w:color w:val="auto"/>
          <w:kern w:val="0"/>
          <w:sz w:val="32"/>
          <w:szCs w:val="32"/>
          <w:u w:val="single"/>
          <w:lang w:val="en-US" w:eastAsia="zh-CN"/>
        </w:rPr>
        <w:t>10</w:t>
      </w:r>
      <w:r>
        <w:rPr>
          <w:rFonts w:hint="eastAsia" w:ascii="仿宋" w:hAnsi="仿宋" w:eastAsia="仿宋" w:cs="仿宋"/>
          <w:color w:val="auto"/>
          <w:kern w:val="0"/>
          <w:sz w:val="32"/>
          <w:szCs w:val="32"/>
          <w:u w:val="single"/>
        </w:rPr>
        <w:t>日</w:t>
      </w:r>
      <w:r>
        <w:rPr>
          <w:rFonts w:hint="eastAsia" w:ascii="仿宋" w:hAnsi="仿宋" w:eastAsia="仿宋" w:cs="仿宋"/>
          <w:color w:val="auto"/>
          <w:kern w:val="0"/>
          <w:sz w:val="32"/>
          <w:szCs w:val="32"/>
          <w:u w:val="single"/>
          <w:lang w:eastAsia="zh-CN"/>
        </w:rPr>
        <w:t>。</w:t>
      </w:r>
      <w:bookmarkStart w:id="9" w:name="auto_fouce_11"/>
    </w:p>
    <w:p w14:paraId="29FFB462">
      <w:pPr>
        <w:spacing w:line="520" w:lineRule="exact"/>
        <w:ind w:firstLine="640" w:firstLineChars="200"/>
        <w:rPr>
          <w:rFonts w:hint="eastAsia" w:ascii="仿宋" w:hAnsi="仿宋" w:eastAsia="仿宋" w:cs="仿宋"/>
          <w:color w:val="auto"/>
          <w:kern w:val="0"/>
          <w:sz w:val="32"/>
          <w:szCs w:val="32"/>
          <w:u w:val="single"/>
          <w:lang w:val="en-US" w:eastAsia="zh-CN"/>
        </w:rPr>
      </w:pPr>
      <w:r>
        <w:rPr>
          <w:rFonts w:hint="eastAsia" w:ascii="仿宋" w:hAnsi="仿宋" w:eastAsia="仿宋" w:cs="仿宋"/>
          <w:color w:val="auto"/>
          <w:kern w:val="0"/>
          <w:sz w:val="32"/>
          <w:szCs w:val="32"/>
          <w:u w:val="single"/>
          <w:lang w:eastAsia="zh-CN"/>
        </w:rPr>
        <w:t>服务期满后5个工作日内，乙方应当移交全部监测数据、系统权限及未使用的服务资源。</w:t>
      </w:r>
      <w:bookmarkEnd w:id="9"/>
    </w:p>
    <w:p w14:paraId="3FA06D2B">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三</w:t>
      </w:r>
      <w:r>
        <w:rPr>
          <w:rFonts w:hint="eastAsia" w:ascii="仿宋" w:hAnsi="仿宋" w:eastAsia="仿宋" w:cs="仿宋"/>
          <w:b/>
          <w:color w:val="auto"/>
          <w:kern w:val="0"/>
          <w:sz w:val="32"/>
          <w:szCs w:val="32"/>
        </w:rPr>
        <w:t>、付款方式</w:t>
      </w:r>
    </w:p>
    <w:p w14:paraId="78519C2F">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1.合同签订后，乙方缴纳合同总价款的10%作为履约保证金。甲方收到履约保证金且上级资金下达后，支付乙方合同总价款的50%。2026年11月10日项目服务期结束后，经甲方验收合格，甲方支付乙方合同总价款的50%。</w:t>
      </w:r>
    </w:p>
    <w:p w14:paraId="49C38986">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2.所有项目服务结束后，经甲方验收合格，甲方无息返还乙方履约保证金。</w:t>
      </w:r>
      <w:bookmarkStart w:id="10" w:name="auto_fouce_13"/>
      <w:r>
        <w:rPr>
          <w:rFonts w:hint="eastAsia" w:ascii="仿宋" w:hAnsi="仿宋" w:eastAsia="仿宋" w:cs="仿宋"/>
          <w:color w:val="auto"/>
          <w:kern w:val="0"/>
          <w:sz w:val="32"/>
          <w:szCs w:val="32"/>
          <w:lang w:val="en-US" w:eastAsia="zh-CN"/>
        </w:rPr>
        <w:t>履约保证金在服务期间如发生乙方违约，甲方有权直接从保证金中扣除相应金额作为违约金。若乙方未通过最终验收，甲方有权没收全部履约保证金。保证金不足以弥补甲方损失的，乙方应继续赔偿不足部分。甲方扣划保证金不免除乙方其他违约责任。</w:t>
      </w:r>
      <w:bookmarkEnd w:id="10"/>
    </w:p>
    <w:p w14:paraId="4291D6DE">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3.甲方每次付款前，乙方须提供等额增值税普通发票。</w:t>
      </w:r>
    </w:p>
    <w:p w14:paraId="74A6277C">
      <w:pPr>
        <w:spacing w:line="52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4.</w:t>
      </w:r>
      <w:bookmarkStart w:id="11" w:name="auto_fouce_14"/>
      <w:r>
        <w:rPr>
          <w:rFonts w:hint="eastAsia" w:ascii="仿宋" w:hAnsi="仿宋" w:eastAsia="仿宋" w:cs="仿宋"/>
          <w:color w:val="auto"/>
          <w:kern w:val="0"/>
          <w:sz w:val="32"/>
          <w:szCs w:val="32"/>
        </w:rPr>
        <w:t>甲方</w:t>
      </w:r>
      <w:r>
        <w:rPr>
          <w:rFonts w:hint="eastAsia" w:ascii="仿宋" w:hAnsi="仿宋" w:eastAsia="仿宋" w:cs="仿宋"/>
          <w:color w:val="auto"/>
          <w:kern w:val="0"/>
          <w:sz w:val="32"/>
          <w:szCs w:val="32"/>
          <w:lang w:eastAsia="zh-CN"/>
        </w:rPr>
        <w:t>须</w:t>
      </w:r>
      <w:r>
        <w:rPr>
          <w:rFonts w:hint="eastAsia" w:ascii="仿宋" w:hAnsi="仿宋" w:eastAsia="仿宋" w:cs="仿宋"/>
          <w:color w:val="auto"/>
          <w:kern w:val="0"/>
          <w:sz w:val="32"/>
          <w:szCs w:val="32"/>
        </w:rPr>
        <w:t>按协议上所列合作金额付至乙方指定银行账户。</w:t>
      </w:r>
      <w:bookmarkEnd w:id="11"/>
    </w:p>
    <w:p w14:paraId="1720F284">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户名：</w:t>
      </w:r>
    </w:p>
    <w:p w14:paraId="2755D0B1">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账号：</w:t>
      </w:r>
    </w:p>
    <w:p w14:paraId="38C45C7D">
      <w:pPr>
        <w:spacing w:line="52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开户行：</w:t>
      </w:r>
    </w:p>
    <w:p w14:paraId="36028601">
      <w:pPr>
        <w:spacing w:line="52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纳税人识别号：</w:t>
      </w:r>
    </w:p>
    <w:p w14:paraId="601015BC">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四</w:t>
      </w:r>
      <w:r>
        <w:rPr>
          <w:rFonts w:hint="eastAsia" w:ascii="仿宋" w:hAnsi="仿宋" w:eastAsia="仿宋" w:cs="仿宋"/>
          <w:b/>
          <w:color w:val="auto"/>
          <w:kern w:val="0"/>
          <w:sz w:val="32"/>
          <w:szCs w:val="32"/>
        </w:rPr>
        <w:t>、</w:t>
      </w:r>
      <w:r>
        <w:rPr>
          <w:rFonts w:hint="eastAsia" w:ascii="仿宋" w:hAnsi="仿宋" w:eastAsia="仿宋" w:cs="仿宋"/>
          <w:b/>
          <w:color w:val="auto"/>
          <w:kern w:val="0"/>
          <w:sz w:val="32"/>
          <w:szCs w:val="32"/>
          <w:lang w:val="en-US" w:eastAsia="zh-CN"/>
        </w:rPr>
        <w:t>违约责任</w:t>
      </w:r>
    </w:p>
    <w:p w14:paraId="02FB25BA">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1.如乙方未按本合同约定的服务要求（包括但不限于监测时效、数据准确性、报告完整性、预警响应速度）或甲方要求提供服务的，甲方有权单方面解除本合同并要求乙方支付合同总金额30%的违约金。</w:t>
      </w:r>
    </w:p>
    <w:p w14:paraId="7979B41A">
      <w:pPr>
        <w:spacing w:line="520" w:lineRule="exact"/>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2.若</w:t>
      </w:r>
      <w:r>
        <w:rPr>
          <w:rFonts w:hint="eastAsia" w:ascii="仿宋" w:hAnsi="仿宋" w:eastAsia="仿宋" w:cs="仿宋"/>
          <w:color w:val="auto"/>
          <w:kern w:val="0"/>
          <w:sz w:val="32"/>
          <w:szCs w:val="32"/>
        </w:rPr>
        <w:t>因乙方</w:t>
      </w:r>
      <w:r>
        <w:rPr>
          <w:rFonts w:hint="eastAsia" w:ascii="仿宋" w:hAnsi="仿宋" w:eastAsia="仿宋" w:cs="仿宋"/>
          <w:color w:val="auto"/>
          <w:kern w:val="0"/>
          <w:sz w:val="32"/>
          <w:szCs w:val="32"/>
          <w:lang w:val="en-US" w:eastAsia="zh-CN"/>
        </w:rPr>
        <w:t>原因</w:t>
      </w:r>
      <w:r>
        <w:rPr>
          <w:rFonts w:hint="eastAsia" w:ascii="仿宋" w:hAnsi="仿宋" w:eastAsia="仿宋" w:cs="仿宋"/>
          <w:color w:val="auto"/>
          <w:kern w:val="0"/>
          <w:sz w:val="32"/>
          <w:szCs w:val="32"/>
          <w:lang w:eastAsia="zh-CN"/>
        </w:rPr>
        <w:t>导致甲方遭受负面信息扩散、公信力损失或其他衍生损害，乙方应赔偿甲方全部直接损失、间接损失及维权合理费用。若乙方提供的网络信息监测数据错误率超过5%或重大负面信息漏报累计达</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lang w:eastAsia="zh-CN"/>
        </w:rPr>
        <w:t>次，甲方有权立即解除合同并要求乙方按合同总价款</w:t>
      </w:r>
      <w:r>
        <w:rPr>
          <w:rFonts w:hint="eastAsia" w:ascii="仿宋" w:hAnsi="仿宋" w:eastAsia="仿宋" w:cs="仿宋"/>
          <w:color w:val="auto"/>
          <w:kern w:val="0"/>
          <w:sz w:val="32"/>
          <w:szCs w:val="32"/>
          <w:lang w:val="en-US" w:eastAsia="zh-CN"/>
        </w:rPr>
        <w:t>30</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支付违约金</w:t>
      </w:r>
      <w:r>
        <w:rPr>
          <w:rFonts w:hint="eastAsia" w:ascii="仿宋" w:hAnsi="仿宋" w:eastAsia="仿宋" w:cs="仿宋"/>
          <w:color w:val="auto"/>
          <w:kern w:val="0"/>
          <w:sz w:val="32"/>
          <w:szCs w:val="32"/>
          <w:lang w:eastAsia="zh-CN"/>
        </w:rPr>
        <w:t>。</w:t>
      </w:r>
    </w:p>
    <w:p w14:paraId="55F83ADC">
      <w:pPr>
        <w:spacing w:line="52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乙方及其工作人员对合同履行过程中接触的甲方全部内部资料和数据等信息均予以保密。未经书面许可，不许以任何形式向第三方透露，不得在任何地方发布。乙方与其工作人员签订保密协议，督促工作人员严格遵守保密规定。乙方因违反保密义务的，甲方有权单方面解除本合同并要求乙方支付合同总金额30%的违约金。</w:t>
      </w:r>
    </w:p>
    <w:p w14:paraId="3563AFBE">
      <w:pPr>
        <w:spacing w:line="520" w:lineRule="exact"/>
        <w:ind w:firstLine="640" w:firstLineChars="200"/>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4.由违约方承担守约方因解决合同纠纷问题所产生的律师费、保全费、诉讼费、公证费、鉴定费、差旅费等。</w:t>
      </w:r>
    </w:p>
    <w:p w14:paraId="5FA23134">
      <w:pPr>
        <w:spacing w:line="520" w:lineRule="exact"/>
        <w:ind w:firstLine="643" w:firstLineChars="200"/>
        <w:rPr>
          <w:rFonts w:hint="eastAsia" w:ascii="仿宋" w:hAnsi="仿宋" w:eastAsia="仿宋" w:cs="仿宋"/>
          <w:b/>
          <w:color w:val="auto"/>
          <w:kern w:val="0"/>
          <w:sz w:val="32"/>
          <w:szCs w:val="32"/>
          <w:lang w:val="en-US" w:eastAsia="zh-CN"/>
        </w:rPr>
      </w:pPr>
      <w:r>
        <w:rPr>
          <w:rFonts w:hint="eastAsia" w:ascii="仿宋" w:hAnsi="仿宋" w:eastAsia="仿宋" w:cs="仿宋"/>
          <w:b/>
          <w:color w:val="auto"/>
          <w:kern w:val="0"/>
          <w:sz w:val="32"/>
          <w:szCs w:val="32"/>
          <w:lang w:val="en-US" w:eastAsia="zh-CN"/>
        </w:rPr>
        <w:t>五、争议解决</w:t>
      </w:r>
    </w:p>
    <w:p w14:paraId="71D4F399">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双方如因本合同发生争议，双方应友好协商解决。</w:t>
      </w:r>
      <w:r>
        <w:rPr>
          <w:rFonts w:hint="eastAsia" w:ascii="仿宋" w:hAnsi="仿宋" w:eastAsia="仿宋" w:cs="仿宋"/>
          <w:color w:val="auto"/>
          <w:kern w:val="0"/>
          <w:sz w:val="32"/>
          <w:szCs w:val="32"/>
          <w:lang w:eastAsia="zh-CN"/>
        </w:rPr>
        <w:t>因本合同产生争议</w:t>
      </w:r>
      <w:r>
        <w:rPr>
          <w:rFonts w:hint="eastAsia" w:ascii="仿宋" w:hAnsi="仿宋" w:eastAsia="仿宋" w:cs="仿宋"/>
          <w:color w:val="auto"/>
          <w:kern w:val="0"/>
          <w:sz w:val="32"/>
          <w:szCs w:val="32"/>
        </w:rPr>
        <w:t>协商不成的，</w:t>
      </w:r>
      <w:r>
        <w:rPr>
          <w:rFonts w:hint="eastAsia" w:ascii="仿宋" w:hAnsi="仿宋" w:eastAsia="仿宋" w:cs="仿宋"/>
          <w:color w:val="auto"/>
          <w:kern w:val="0"/>
          <w:sz w:val="32"/>
          <w:szCs w:val="32"/>
          <w:lang w:eastAsia="zh-CN"/>
        </w:rPr>
        <w:t>双</w:t>
      </w:r>
      <w:r>
        <w:rPr>
          <w:rFonts w:hint="eastAsia" w:ascii="仿宋" w:hAnsi="仿宋" w:eastAsia="仿宋" w:cs="仿宋"/>
          <w:color w:val="auto"/>
          <w:kern w:val="0"/>
          <w:sz w:val="32"/>
          <w:szCs w:val="32"/>
        </w:rPr>
        <w:t>方</w:t>
      </w:r>
      <w:r>
        <w:rPr>
          <w:rFonts w:hint="eastAsia" w:ascii="仿宋" w:hAnsi="仿宋" w:eastAsia="仿宋" w:cs="仿宋"/>
          <w:color w:val="auto"/>
          <w:kern w:val="0"/>
          <w:sz w:val="32"/>
          <w:szCs w:val="32"/>
          <w:lang w:eastAsia="zh-CN"/>
        </w:rPr>
        <w:t>同意提交</w:t>
      </w:r>
      <w:r>
        <w:rPr>
          <w:rFonts w:hint="eastAsia" w:ascii="仿宋" w:hAnsi="仿宋" w:eastAsia="仿宋" w:cs="仿宋"/>
          <w:color w:val="auto"/>
          <w:kern w:val="0"/>
          <w:sz w:val="32"/>
          <w:szCs w:val="32"/>
        </w:rPr>
        <w:t>甲方所在地有管辖权的人民法院提起诉讼。</w:t>
      </w:r>
    </w:p>
    <w:p w14:paraId="33ADCE0D">
      <w:pPr>
        <w:spacing w:line="520" w:lineRule="exact"/>
        <w:ind w:firstLine="643" w:firstLineChars="200"/>
        <w:rPr>
          <w:rFonts w:ascii="仿宋" w:hAnsi="仿宋" w:eastAsia="仿宋" w:cs="仿宋"/>
          <w:b/>
          <w:color w:val="auto"/>
          <w:kern w:val="0"/>
          <w:sz w:val="32"/>
          <w:szCs w:val="32"/>
        </w:rPr>
      </w:pPr>
      <w:r>
        <w:rPr>
          <w:rFonts w:hint="eastAsia" w:ascii="仿宋" w:hAnsi="仿宋" w:eastAsia="仿宋" w:cs="仿宋"/>
          <w:b/>
          <w:color w:val="auto"/>
          <w:kern w:val="0"/>
          <w:sz w:val="32"/>
          <w:szCs w:val="32"/>
          <w:lang w:val="en-US" w:eastAsia="zh-CN"/>
        </w:rPr>
        <w:t>六、</w:t>
      </w:r>
      <w:r>
        <w:rPr>
          <w:rFonts w:hint="eastAsia" w:ascii="仿宋" w:hAnsi="仿宋" w:eastAsia="仿宋" w:cs="仿宋"/>
          <w:b/>
          <w:color w:val="auto"/>
          <w:kern w:val="0"/>
          <w:sz w:val="32"/>
          <w:szCs w:val="32"/>
        </w:rPr>
        <w:t>其他条款</w:t>
      </w:r>
    </w:p>
    <w:p w14:paraId="73C39136">
      <w:pPr>
        <w:spacing w:line="520" w:lineRule="exact"/>
        <w:ind w:firstLine="640" w:firstLineChars="200"/>
        <w:rPr>
          <w:rFonts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w:t>
      </w:r>
      <w:bookmarkStart w:id="12" w:name="auto_fouce_15"/>
      <w:r>
        <w:rPr>
          <w:rFonts w:hint="eastAsia" w:ascii="仿宋" w:hAnsi="仿宋" w:eastAsia="仿宋" w:cs="仿宋"/>
          <w:color w:val="auto"/>
          <w:kern w:val="0"/>
          <w:sz w:val="32"/>
          <w:szCs w:val="32"/>
        </w:rPr>
        <w:t>本合同一式陆份，甲方执叁份，乙方执叁份，每份均具有同等法律效力。本合同自双方</w:t>
      </w:r>
      <w:r>
        <w:rPr>
          <w:rFonts w:hint="eastAsia" w:ascii="仿宋" w:hAnsi="仿宋" w:eastAsia="仿宋" w:cs="仿宋"/>
          <w:color w:val="auto"/>
          <w:kern w:val="0"/>
          <w:sz w:val="32"/>
          <w:szCs w:val="32"/>
          <w:lang w:val="en-US" w:eastAsia="zh-CN"/>
        </w:rPr>
        <w:t>法定代表人或委托代理人签字并加</w:t>
      </w:r>
      <w:r>
        <w:rPr>
          <w:rFonts w:hint="eastAsia" w:ascii="仿宋" w:hAnsi="仿宋" w:eastAsia="仿宋" w:cs="仿宋"/>
          <w:color w:val="auto"/>
          <w:kern w:val="0"/>
          <w:sz w:val="32"/>
          <w:szCs w:val="32"/>
        </w:rPr>
        <w:t>盖</w:t>
      </w:r>
      <w:r>
        <w:rPr>
          <w:rFonts w:hint="eastAsia" w:ascii="仿宋" w:hAnsi="仿宋" w:eastAsia="仿宋" w:cs="仿宋"/>
          <w:color w:val="auto"/>
          <w:kern w:val="0"/>
          <w:sz w:val="32"/>
          <w:szCs w:val="32"/>
          <w:lang w:val="en-US" w:eastAsia="zh-CN"/>
        </w:rPr>
        <w:t>单位公</w:t>
      </w:r>
      <w:r>
        <w:rPr>
          <w:rFonts w:hint="eastAsia" w:ascii="仿宋" w:hAnsi="仿宋" w:eastAsia="仿宋" w:cs="仿宋"/>
          <w:color w:val="auto"/>
          <w:kern w:val="0"/>
          <w:sz w:val="32"/>
          <w:szCs w:val="32"/>
        </w:rPr>
        <w:t>章之日起生效。</w:t>
      </w:r>
      <w:bookmarkEnd w:id="12"/>
    </w:p>
    <w:p w14:paraId="2C49CF94">
      <w:pPr>
        <w:spacing w:line="520" w:lineRule="exact"/>
        <w:ind w:firstLine="420" w:firstLineChars="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kern w:val="0"/>
          <w:sz w:val="32"/>
          <w:szCs w:val="32"/>
          <w:lang w:val="en-US" w:eastAsia="zh-CN"/>
        </w:rPr>
        <w:t>.</w:t>
      </w:r>
      <w:bookmarkStart w:id="13" w:name="auto_fouce_16"/>
      <w:r>
        <w:rPr>
          <w:rFonts w:hint="eastAsia" w:ascii="仿宋" w:hAnsi="仿宋" w:eastAsia="仿宋" w:cs="仿宋"/>
          <w:color w:val="auto"/>
          <w:kern w:val="0"/>
          <w:sz w:val="32"/>
          <w:szCs w:val="32"/>
        </w:rPr>
        <w:t>本协议未尽事宜，双方可协商签订书面补充协议，该书面补充协议与本合同具有同等的法律效力。</w:t>
      </w:r>
    </w:p>
    <w:bookmarkEnd w:id="13"/>
    <w:p w14:paraId="7C3875AB">
      <w:pPr>
        <w:spacing w:line="520" w:lineRule="exact"/>
        <w:rPr>
          <w:rFonts w:hint="eastAsia" w:ascii="仿宋" w:hAnsi="仿宋" w:eastAsia="仿宋" w:cs="仿宋"/>
          <w:color w:val="auto"/>
          <w:kern w:val="0"/>
          <w:sz w:val="32"/>
          <w:szCs w:val="32"/>
        </w:rPr>
      </w:pPr>
    </w:p>
    <w:p w14:paraId="7B5D11F7">
      <w:pPr>
        <w:spacing w:line="520" w:lineRule="exact"/>
        <w:rPr>
          <w:rFonts w:hint="eastAsia" w:ascii="仿宋" w:hAnsi="仿宋" w:eastAsia="仿宋" w:cs="仿宋"/>
          <w:color w:val="auto"/>
          <w:kern w:val="0"/>
          <w:sz w:val="32"/>
          <w:szCs w:val="32"/>
        </w:rPr>
      </w:pPr>
    </w:p>
    <w:p w14:paraId="432C46E7">
      <w:pPr>
        <w:spacing w:line="520" w:lineRule="exact"/>
        <w:rPr>
          <w:rFonts w:ascii="仿宋" w:hAnsi="仿宋" w:eastAsia="仿宋" w:cs="仿宋"/>
          <w:color w:val="auto"/>
          <w:kern w:val="0"/>
          <w:sz w:val="32"/>
          <w:szCs w:val="32"/>
        </w:rPr>
      </w:pPr>
      <w:r>
        <w:rPr>
          <w:rFonts w:hint="eastAsia" w:ascii="仿宋" w:hAnsi="仿宋" w:eastAsia="仿宋" w:cs="仿宋"/>
          <w:color w:val="auto"/>
          <w:kern w:val="0"/>
          <w:sz w:val="32"/>
          <w:szCs w:val="32"/>
        </w:rPr>
        <w:t xml:space="preserve">甲方：                           </w:t>
      </w:r>
      <w:r>
        <w:rPr>
          <w:rFonts w:ascii="仿宋" w:hAnsi="仿宋" w:eastAsia="仿宋" w:cs="仿宋"/>
          <w:color w:val="auto"/>
          <w:kern w:val="0"/>
          <w:sz w:val="32"/>
          <w:szCs w:val="32"/>
        </w:rPr>
        <w:t>乙方：</w:t>
      </w:r>
    </w:p>
    <w:p w14:paraId="55107980">
      <w:pPr>
        <w:spacing w:line="520" w:lineRule="exac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法定代表人或委托代理人（签字）：          法定代表人或委托代理人（签字）：</w:t>
      </w:r>
    </w:p>
    <w:p w14:paraId="3B54F9FC">
      <w:pPr>
        <w:spacing w:line="520" w:lineRule="exact"/>
        <w:rPr>
          <w:rFonts w:hint="default" w:ascii="仿宋" w:hAnsi="仿宋" w:eastAsia="仿宋" w:cs="仿宋"/>
          <w:color w:val="auto"/>
          <w:kern w:val="0"/>
          <w:sz w:val="24"/>
          <w:szCs w:val="24"/>
          <w:lang w:val="en-US" w:eastAsia="zh-CN"/>
        </w:rPr>
      </w:pPr>
    </w:p>
    <w:p w14:paraId="07FD75B5">
      <w:pPr>
        <w:spacing w:line="520" w:lineRule="exact"/>
        <w:rPr>
          <w:rFonts w:ascii="仿宋" w:hAnsi="仿宋" w:eastAsia="仿宋" w:cs="仿宋"/>
          <w:color w:val="auto"/>
          <w:kern w:val="0"/>
          <w:sz w:val="32"/>
          <w:szCs w:val="32"/>
        </w:rPr>
      </w:pPr>
      <w:r>
        <w:rPr>
          <w:rFonts w:ascii="仿宋" w:hAnsi="仿宋" w:eastAsia="仿宋" w:cs="仿宋"/>
          <w:color w:val="auto"/>
          <w:kern w:val="0"/>
          <w:sz w:val="32"/>
          <w:szCs w:val="32"/>
        </w:rPr>
        <w:t>（</w:t>
      </w:r>
      <w:r>
        <w:rPr>
          <w:rFonts w:hint="eastAsia" w:ascii="仿宋" w:hAnsi="仿宋" w:eastAsia="仿宋" w:cs="仿宋"/>
          <w:color w:val="auto"/>
          <w:kern w:val="0"/>
          <w:sz w:val="32"/>
          <w:szCs w:val="32"/>
        </w:rPr>
        <w:t>盖章）                        （盖章）</w:t>
      </w:r>
    </w:p>
    <w:p w14:paraId="70C07FA9">
      <w:pPr>
        <w:spacing w:line="520" w:lineRule="exact"/>
        <w:rPr>
          <w:rFonts w:hint="eastAsia" w:ascii="仿宋" w:hAnsi="仿宋" w:eastAsia="仿宋" w:cs="仿宋"/>
          <w:color w:val="auto"/>
          <w:kern w:val="0"/>
          <w:sz w:val="32"/>
          <w:szCs w:val="32"/>
        </w:rPr>
      </w:pPr>
    </w:p>
    <w:p w14:paraId="20936C11">
      <w:pPr>
        <w:spacing w:line="520" w:lineRule="exact"/>
        <w:rPr>
          <w:rFonts w:ascii="仿宋" w:hAnsi="仿宋" w:eastAsia="仿宋" w:cs="仿宋"/>
          <w:color w:val="auto"/>
          <w:kern w:val="0"/>
          <w:sz w:val="30"/>
          <w:szCs w:val="30"/>
        </w:rPr>
      </w:pPr>
      <w:r>
        <w:rPr>
          <w:rFonts w:hint="eastAsia" w:ascii="仿宋" w:hAnsi="仿宋" w:eastAsia="仿宋" w:cs="仿宋"/>
          <w:color w:val="auto"/>
          <w:kern w:val="0"/>
          <w:sz w:val="32"/>
          <w:szCs w:val="32"/>
        </w:rPr>
        <w:t xml:space="preserve">签署日期：             </w:t>
      </w:r>
      <w:r>
        <w:rPr>
          <w:rFonts w:hint="eastAsia" w:ascii="仿宋" w:hAnsi="仿宋" w:eastAsia="仿宋" w:cs="仿宋"/>
          <w:color w:val="auto"/>
          <w:kern w:val="0"/>
          <w:sz w:val="30"/>
          <w:szCs w:val="30"/>
        </w:rPr>
        <w:t xml:space="preserve">           签署日期：</w:t>
      </w:r>
    </w:p>
    <w:p w14:paraId="120AB820">
      <w:pPr>
        <w:widowControl/>
        <w:ind w:firstLine="644" w:firstLineChars="200"/>
        <w:jc w:val="left"/>
        <w:rPr>
          <w:rFonts w:hint="eastAsia" w:ascii="黑体" w:hAnsi="黑体" w:cs="黑体"/>
          <w:spacing w:val="1"/>
          <w:sz w:val="32"/>
          <w:szCs w:val="32"/>
        </w:rPr>
      </w:pPr>
    </w:p>
    <w:p w14:paraId="40E123AD">
      <w:pPr>
        <w:widowControl/>
        <w:jc w:val="left"/>
        <w:rPr>
          <w:rFonts w:ascii="黑体" w:hAnsi="黑体" w:cs="黑体"/>
          <w:spacing w:val="1"/>
          <w:sz w:val="32"/>
          <w:szCs w:val="32"/>
        </w:rPr>
      </w:pPr>
      <w:r>
        <w:rPr>
          <w:rFonts w:ascii="黑体" w:hAnsi="黑体" w:cs="黑体"/>
          <w:spacing w:val="1"/>
          <w:sz w:val="32"/>
          <w:szCs w:val="32"/>
        </w:rPr>
        <w:br w:type="page"/>
      </w:r>
    </w:p>
    <w:p w14:paraId="23B10DD6">
      <w:pPr>
        <w:autoSpaceDE w:val="0"/>
        <w:autoSpaceDN w:val="0"/>
        <w:spacing w:line="360" w:lineRule="exact"/>
        <w:jc w:val="center"/>
        <w:rPr>
          <w:rFonts w:ascii="黑体" w:hAnsi="黑体" w:cs="黑体"/>
          <w:spacing w:val="1"/>
          <w:sz w:val="32"/>
          <w:szCs w:val="32"/>
        </w:rPr>
      </w:pPr>
      <w:r>
        <w:rPr>
          <w:rFonts w:hint="eastAsia" w:ascii="黑体" w:hAnsi="黑体" w:cs="黑体"/>
          <w:spacing w:val="1"/>
          <w:sz w:val="32"/>
          <w:szCs w:val="32"/>
        </w:rPr>
        <w:t>第</w:t>
      </w:r>
      <w:r>
        <w:rPr>
          <w:rFonts w:hint="eastAsia" w:ascii="黑体" w:hAnsi="黑体" w:cs="黑体"/>
          <w:spacing w:val="1"/>
          <w:sz w:val="32"/>
          <w:szCs w:val="32"/>
          <w:lang w:eastAsia="zh-CN"/>
        </w:rPr>
        <w:t>六</w:t>
      </w:r>
      <w:r>
        <w:rPr>
          <w:rFonts w:hint="eastAsia" w:ascii="黑体" w:hAnsi="黑体" w:cs="黑体"/>
          <w:spacing w:val="1"/>
          <w:sz w:val="32"/>
          <w:szCs w:val="32"/>
        </w:rPr>
        <w:t>章  响应文件格式</w:t>
      </w:r>
    </w:p>
    <w:p w14:paraId="6C1761EE">
      <w:pPr>
        <w:spacing w:line="360" w:lineRule="auto"/>
        <w:jc w:val="right"/>
        <w:rPr>
          <w:rFonts w:ascii="黑体" w:eastAsia="黑体"/>
          <w:sz w:val="32"/>
          <w:szCs w:val="32"/>
        </w:rPr>
      </w:pPr>
      <w:bookmarkStart w:id="14" w:name="_Toc9865_WPSOffice_Level1"/>
      <w:r>
        <w:rPr>
          <w:rFonts w:hint="eastAsia" w:ascii="黑体" w:eastAsia="黑体"/>
          <w:sz w:val="32"/>
          <w:szCs w:val="32"/>
        </w:rPr>
        <w:t>正本（副本）</w:t>
      </w:r>
      <w:bookmarkEnd w:id="14"/>
    </w:p>
    <w:p w14:paraId="47873D17">
      <w:pPr>
        <w:jc w:val="center"/>
        <w:rPr>
          <w:rFonts w:ascii="黑体" w:eastAsia="黑体"/>
          <w:sz w:val="52"/>
          <w:szCs w:val="52"/>
        </w:rPr>
      </w:pPr>
    </w:p>
    <w:p w14:paraId="4872305C">
      <w:pPr>
        <w:jc w:val="center"/>
      </w:pPr>
      <w:r>
        <w:rPr>
          <w:rFonts w:hint="eastAsia" w:ascii="黑体" w:eastAsia="黑体"/>
          <w:sz w:val="52"/>
          <w:szCs w:val="52"/>
        </w:rPr>
        <w:t>南京市雨花台烈士陵园管理局</w:t>
      </w:r>
    </w:p>
    <w:p w14:paraId="7C6E76B1">
      <w:pPr>
        <w:jc w:val="center"/>
        <w:rPr>
          <w:rFonts w:ascii="黑体" w:eastAsia="黑体"/>
          <w:sz w:val="52"/>
          <w:szCs w:val="52"/>
        </w:rPr>
      </w:pPr>
      <w:r>
        <w:rPr>
          <w:rFonts w:hint="eastAsia" w:ascii="黑体" w:eastAsia="黑体"/>
          <w:sz w:val="52"/>
          <w:szCs w:val="52"/>
          <w:lang w:eastAsia="zh-CN"/>
        </w:rPr>
        <w:t>网络监测</w:t>
      </w:r>
      <w:r>
        <w:rPr>
          <w:rFonts w:hint="eastAsia" w:ascii="黑体" w:eastAsia="黑体"/>
          <w:sz w:val="52"/>
          <w:szCs w:val="52"/>
        </w:rPr>
        <w:t>项目</w:t>
      </w:r>
    </w:p>
    <w:p w14:paraId="4C8FC1F8">
      <w:pPr>
        <w:spacing w:line="360" w:lineRule="auto"/>
        <w:jc w:val="center"/>
        <w:rPr>
          <w:rFonts w:ascii="黑体" w:eastAsia="黑体"/>
          <w:bCs/>
          <w:sz w:val="32"/>
          <w:szCs w:val="32"/>
        </w:rPr>
      </w:pPr>
    </w:p>
    <w:p w14:paraId="27A7DCF0">
      <w:pPr>
        <w:spacing w:line="360" w:lineRule="auto"/>
        <w:jc w:val="center"/>
        <w:rPr>
          <w:rFonts w:ascii="黑体" w:eastAsia="黑体"/>
          <w:bCs/>
          <w:sz w:val="32"/>
          <w:szCs w:val="32"/>
        </w:rPr>
      </w:pPr>
    </w:p>
    <w:p w14:paraId="778E046C">
      <w:pPr>
        <w:jc w:val="center"/>
        <w:rPr>
          <w:rFonts w:ascii="黑体" w:eastAsia="黑体"/>
          <w:sz w:val="32"/>
          <w:szCs w:val="32"/>
        </w:rPr>
      </w:pPr>
      <w:r>
        <w:rPr>
          <w:rFonts w:hint="eastAsia" w:ascii="黑体" w:eastAsia="黑体"/>
          <w:sz w:val="72"/>
          <w:szCs w:val="72"/>
        </w:rPr>
        <w:t>响应文件</w:t>
      </w:r>
    </w:p>
    <w:p w14:paraId="5FD7004A">
      <w:pPr>
        <w:spacing w:line="360" w:lineRule="auto"/>
        <w:jc w:val="center"/>
        <w:rPr>
          <w:rFonts w:ascii="黑体" w:eastAsia="黑体"/>
          <w:bCs/>
          <w:sz w:val="32"/>
          <w:szCs w:val="32"/>
        </w:rPr>
      </w:pPr>
    </w:p>
    <w:p w14:paraId="4850DE0A">
      <w:pPr>
        <w:spacing w:line="360" w:lineRule="auto"/>
        <w:jc w:val="center"/>
        <w:rPr>
          <w:rFonts w:ascii="黑体" w:eastAsia="黑体"/>
          <w:bCs/>
          <w:sz w:val="32"/>
          <w:szCs w:val="32"/>
        </w:rPr>
      </w:pPr>
    </w:p>
    <w:p w14:paraId="6CF198F8">
      <w:pPr>
        <w:spacing w:line="360" w:lineRule="auto"/>
        <w:jc w:val="center"/>
        <w:rPr>
          <w:rFonts w:ascii="黑体" w:eastAsia="黑体"/>
          <w:bCs/>
          <w:sz w:val="32"/>
          <w:szCs w:val="32"/>
        </w:rPr>
      </w:pPr>
    </w:p>
    <w:p w14:paraId="4ACD40FB">
      <w:pPr>
        <w:spacing w:line="360" w:lineRule="auto"/>
        <w:ind w:firstLine="1280" w:firstLineChars="400"/>
        <w:rPr>
          <w:rFonts w:ascii="黑体" w:eastAsia="黑体"/>
          <w:sz w:val="32"/>
          <w:szCs w:val="32"/>
        </w:rPr>
      </w:pPr>
      <w:bookmarkStart w:id="15" w:name="_Toc2980_WPSOffice_Level1"/>
      <w:r>
        <w:rPr>
          <w:rFonts w:hint="eastAsia" w:ascii="黑体" w:eastAsia="黑体"/>
          <w:sz w:val="32"/>
          <w:szCs w:val="32"/>
        </w:rPr>
        <w:t>供 应 商：</w:t>
      </w:r>
      <w:r>
        <w:rPr>
          <w:rFonts w:hint="eastAsia" w:ascii="黑体" w:eastAsia="黑体"/>
          <w:sz w:val="32"/>
          <w:szCs w:val="32"/>
          <w:u w:val="single"/>
        </w:rPr>
        <w:t xml:space="preserve">                     </w:t>
      </w:r>
      <w:r>
        <w:rPr>
          <w:rFonts w:hint="eastAsia" w:ascii="黑体" w:eastAsia="黑体"/>
          <w:sz w:val="32"/>
          <w:szCs w:val="32"/>
        </w:rPr>
        <w:t>（单位公章）</w:t>
      </w:r>
      <w:bookmarkEnd w:id="15"/>
    </w:p>
    <w:p w14:paraId="1FD9D65E">
      <w:pPr>
        <w:spacing w:line="360" w:lineRule="auto"/>
        <w:ind w:firstLine="1280" w:firstLineChars="400"/>
        <w:rPr>
          <w:rFonts w:ascii="黑体" w:eastAsia="黑体"/>
          <w:bCs/>
          <w:sz w:val="32"/>
          <w:szCs w:val="32"/>
        </w:rPr>
      </w:pPr>
      <w:bookmarkStart w:id="16" w:name="_Toc6003_WPSOffice_Level1"/>
      <w:r>
        <w:rPr>
          <w:rFonts w:hint="eastAsia" w:ascii="黑体" w:eastAsia="黑体"/>
          <w:sz w:val="32"/>
          <w:szCs w:val="32"/>
        </w:rPr>
        <w:t>联 系 人：</w:t>
      </w:r>
      <w:bookmarkEnd w:id="16"/>
      <w:r>
        <w:rPr>
          <w:rFonts w:hint="eastAsia" w:ascii="黑体" w:eastAsia="黑体"/>
          <w:sz w:val="32"/>
          <w:szCs w:val="32"/>
          <w:u w:val="single"/>
        </w:rPr>
        <w:t xml:space="preserve">                     </w:t>
      </w:r>
    </w:p>
    <w:p w14:paraId="5F81DFEF">
      <w:pPr>
        <w:spacing w:line="360" w:lineRule="auto"/>
        <w:ind w:firstLine="1280" w:firstLineChars="400"/>
        <w:rPr>
          <w:rFonts w:ascii="黑体" w:eastAsia="黑体"/>
          <w:sz w:val="32"/>
          <w:szCs w:val="32"/>
        </w:rPr>
      </w:pPr>
      <w:bookmarkStart w:id="17" w:name="_Toc17231_WPSOffice_Level1"/>
      <w:r>
        <w:rPr>
          <w:rFonts w:hint="eastAsia" w:ascii="黑体" w:eastAsia="黑体"/>
          <w:sz w:val="32"/>
          <w:szCs w:val="32"/>
        </w:rPr>
        <w:t>联系方式：</w:t>
      </w:r>
      <w:bookmarkEnd w:id="17"/>
      <w:r>
        <w:rPr>
          <w:rFonts w:hint="eastAsia" w:ascii="黑体" w:eastAsia="黑体"/>
          <w:sz w:val="32"/>
          <w:szCs w:val="32"/>
          <w:u w:val="single"/>
        </w:rPr>
        <w:t xml:space="preserve">                     </w:t>
      </w:r>
    </w:p>
    <w:p w14:paraId="0DFBB0D0">
      <w:pPr>
        <w:spacing w:line="360" w:lineRule="auto"/>
        <w:ind w:firstLine="1280" w:firstLineChars="400"/>
        <w:rPr>
          <w:rFonts w:ascii="黑体" w:eastAsia="黑体"/>
          <w:sz w:val="32"/>
          <w:szCs w:val="32"/>
        </w:rPr>
      </w:pPr>
      <w:bookmarkStart w:id="18" w:name="_Toc21781_WPSOffice_Level1"/>
      <w:r>
        <w:rPr>
          <w:rFonts w:hint="eastAsia" w:ascii="黑体" w:eastAsia="黑体"/>
          <w:sz w:val="32"/>
          <w:szCs w:val="32"/>
        </w:rPr>
        <w:t>单位地址：</w:t>
      </w:r>
      <w:bookmarkEnd w:id="18"/>
      <w:r>
        <w:rPr>
          <w:rFonts w:hint="eastAsia" w:ascii="黑体" w:eastAsia="黑体"/>
          <w:sz w:val="32"/>
          <w:szCs w:val="32"/>
          <w:u w:val="single"/>
        </w:rPr>
        <w:t xml:space="preserve">                     </w:t>
      </w:r>
    </w:p>
    <w:p w14:paraId="3D4ED6DC">
      <w:pPr>
        <w:spacing w:line="360" w:lineRule="auto"/>
        <w:ind w:firstLine="3200" w:firstLineChars="1000"/>
        <w:rPr>
          <w:rFonts w:ascii="黑体" w:eastAsia="黑体" w:cs="仿宋_GB2312"/>
          <w:sz w:val="32"/>
          <w:szCs w:val="32"/>
          <w:u w:val="single"/>
        </w:rPr>
      </w:pPr>
      <w:r>
        <w:rPr>
          <w:rFonts w:hint="eastAsia" w:ascii="黑体" w:eastAsia="黑体"/>
          <w:sz w:val="32"/>
          <w:szCs w:val="32"/>
          <w:u w:val="single"/>
        </w:rPr>
        <w:t xml:space="preserve">     </w:t>
      </w:r>
      <w:bookmarkStart w:id="19" w:name="_Toc5668_WPSOffice_Level1"/>
      <w:r>
        <w:rPr>
          <w:rFonts w:hint="eastAsia" w:ascii="黑体" w:eastAsia="黑体"/>
          <w:sz w:val="32"/>
          <w:szCs w:val="32"/>
        </w:rPr>
        <w:t>年</w:t>
      </w:r>
      <w:r>
        <w:rPr>
          <w:rFonts w:hint="eastAsia" w:ascii="黑体" w:eastAsia="黑体"/>
          <w:sz w:val="32"/>
          <w:szCs w:val="32"/>
          <w:u w:val="single"/>
        </w:rPr>
        <w:t xml:space="preserve">   </w:t>
      </w:r>
      <w:r>
        <w:rPr>
          <w:rFonts w:hint="eastAsia" w:ascii="黑体" w:eastAsia="黑体"/>
          <w:sz w:val="32"/>
          <w:szCs w:val="32"/>
        </w:rPr>
        <w:t>月</w:t>
      </w:r>
      <w:r>
        <w:rPr>
          <w:rFonts w:hint="eastAsia" w:ascii="黑体" w:eastAsia="黑体"/>
          <w:sz w:val="32"/>
          <w:szCs w:val="32"/>
          <w:u w:val="single"/>
        </w:rPr>
        <w:t xml:space="preserve">   </w:t>
      </w:r>
      <w:r>
        <w:rPr>
          <w:rFonts w:hint="eastAsia" w:ascii="黑体" w:eastAsia="黑体"/>
          <w:sz w:val="32"/>
          <w:szCs w:val="32"/>
        </w:rPr>
        <w:t>日</w:t>
      </w:r>
      <w:bookmarkEnd w:id="19"/>
    </w:p>
    <w:p w14:paraId="1468629A">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20" w:name="_Toc3207_WPSOffice_Level1"/>
      <w:r>
        <w:rPr>
          <w:rFonts w:hint="eastAsia" w:ascii="黑体" w:eastAsia="黑体"/>
          <w:sz w:val="32"/>
          <w:szCs w:val="32"/>
        </w:rPr>
        <w:t>目  录</w:t>
      </w:r>
      <w:bookmarkEnd w:id="20"/>
    </w:p>
    <w:p w14:paraId="4930983C">
      <w:pPr>
        <w:spacing w:before="100" w:beforeAutospacing="1" w:after="100" w:afterAutospacing="1"/>
        <w:ind w:firstLine="1050" w:firstLineChars="500"/>
        <w:rPr>
          <w:rFonts w:ascii="仿宋_GB2312" w:eastAsia="仿宋_GB2312"/>
          <w:sz w:val="24"/>
        </w:rPr>
      </w:pPr>
      <w:r>
        <w:rPr>
          <w:rFonts w:hint="eastAsia" w:eastAsia="黑体"/>
        </w:rPr>
        <w:t>（注：供应商根据附件顺序编制响应文件并制作目录（须生成页码））</w:t>
      </w:r>
    </w:p>
    <w:p w14:paraId="7C1958E0">
      <w:pPr>
        <w:spacing w:before="100" w:beforeAutospacing="1" w:after="100" w:afterAutospacing="1"/>
        <w:rPr>
          <w:rFonts w:ascii="仿宋_GB2312" w:eastAsia="仿宋_GB2312"/>
          <w:sz w:val="24"/>
        </w:rPr>
      </w:pPr>
    </w:p>
    <w:p w14:paraId="04665D57">
      <w:pPr>
        <w:pStyle w:val="3"/>
        <w:spacing w:line="540" w:lineRule="exact"/>
        <w:jc w:val="center"/>
        <w:rPr>
          <w:rFonts w:ascii="仿宋_GB2312" w:eastAsia="仿宋_GB2312"/>
          <w:sz w:val="24"/>
        </w:rPr>
      </w:pPr>
      <w:r>
        <w:rPr>
          <w:rFonts w:hint="eastAsia" w:ascii="仿宋_GB2312" w:eastAsia="仿宋_GB2312"/>
          <w:sz w:val="24"/>
        </w:rPr>
        <w:br w:type="page"/>
      </w:r>
      <w:bookmarkStart w:id="21" w:name="_Toc534273800"/>
      <w:bookmarkStart w:id="22" w:name="_Toc534273677"/>
    </w:p>
    <w:p w14:paraId="76506200">
      <w:pPr>
        <w:pStyle w:val="3"/>
        <w:spacing w:line="540" w:lineRule="exact"/>
        <w:jc w:val="center"/>
        <w:rPr>
          <w:rFonts w:ascii="黑体" w:eastAsia="黑体" w:cs="黑体"/>
          <w:sz w:val="32"/>
          <w:szCs w:val="32"/>
        </w:rPr>
      </w:pPr>
      <w:r>
        <w:rPr>
          <w:rFonts w:hint="eastAsia" w:ascii="黑体" w:eastAsia="黑体" w:cs="黑体"/>
          <w:b w:val="0"/>
          <w:sz w:val="32"/>
          <w:szCs w:val="32"/>
        </w:rPr>
        <w:t>一、</w:t>
      </w:r>
      <w:r>
        <w:rPr>
          <w:rFonts w:hint="eastAsia" w:ascii="黑体" w:eastAsia="黑体" w:cs="黑体"/>
          <w:sz w:val="32"/>
          <w:szCs w:val="32"/>
        </w:rPr>
        <w:t>资格证明文件</w:t>
      </w:r>
    </w:p>
    <w:p w14:paraId="5DBF50B3"/>
    <w:p w14:paraId="486C682D"/>
    <w:p w14:paraId="7CAB706B">
      <w:pPr>
        <w:autoSpaceDE w:val="0"/>
        <w:autoSpaceDN w:val="0"/>
        <w:ind w:firstLine="468" w:firstLineChars="200"/>
        <w:rPr>
          <w:rFonts w:ascii="黑体" w:eastAsia="黑体" w:cs="宋体"/>
          <w:spacing w:val="-3"/>
          <w:sz w:val="24"/>
          <w:szCs w:val="24"/>
        </w:rPr>
      </w:pPr>
      <w:r>
        <w:rPr>
          <w:rFonts w:hint="eastAsia" w:ascii="黑体" w:eastAsia="黑体" w:cs="宋体"/>
          <w:spacing w:val="-3"/>
          <w:sz w:val="24"/>
          <w:szCs w:val="24"/>
        </w:rPr>
        <w:t>（1）具有独立承担民事责任的能力（提供法人或者其他组织的营业执照、税务登记证、组织机构代码证，或三证合一，自然人的身份证明，复印件加盖公章）；</w:t>
      </w:r>
    </w:p>
    <w:p w14:paraId="7D5801FE">
      <w:pPr>
        <w:autoSpaceDE w:val="0"/>
        <w:autoSpaceDN w:val="0"/>
        <w:ind w:firstLine="468" w:firstLineChars="200"/>
        <w:rPr>
          <w:rFonts w:ascii="黑体" w:eastAsia="黑体" w:cs="宋体"/>
          <w:spacing w:val="-3"/>
          <w:sz w:val="24"/>
          <w:szCs w:val="24"/>
        </w:rPr>
      </w:pPr>
      <w:r>
        <w:rPr>
          <w:rFonts w:hint="eastAsia" w:ascii="黑体" w:eastAsia="黑体" w:cs="宋体"/>
          <w:spacing w:val="-3"/>
          <w:sz w:val="24"/>
          <w:szCs w:val="24"/>
        </w:rPr>
        <w:t>（2）具有良好的商业信誉和健全的财务会计制度（提供2022年度的会计报表，</w:t>
      </w:r>
      <w:r>
        <w:rPr>
          <w:rFonts w:hint="eastAsia" w:ascii="黑体" w:eastAsia="黑体"/>
          <w:sz w:val="24"/>
          <w:szCs w:val="24"/>
        </w:rPr>
        <w:t>或银行出具的针对本项目的资信证明，复印件加盖公章；法人或者其它组织成立不满一年不需提供</w:t>
      </w:r>
      <w:r>
        <w:rPr>
          <w:rFonts w:hint="eastAsia" w:ascii="黑体" w:eastAsia="黑体" w:cs="宋体"/>
          <w:spacing w:val="-3"/>
          <w:sz w:val="24"/>
          <w:szCs w:val="24"/>
        </w:rPr>
        <w:t>）；</w:t>
      </w:r>
    </w:p>
    <w:p w14:paraId="581C5E99">
      <w:pPr>
        <w:autoSpaceDE w:val="0"/>
        <w:autoSpaceDN w:val="0"/>
        <w:ind w:firstLine="484" w:firstLineChars="200"/>
        <w:jc w:val="left"/>
        <w:rPr>
          <w:rFonts w:ascii="黑体" w:eastAsia="黑体" w:cs="宋体"/>
          <w:sz w:val="24"/>
          <w:szCs w:val="24"/>
        </w:rPr>
      </w:pPr>
      <w:r>
        <w:rPr>
          <w:rFonts w:hint="eastAsia" w:ascii="黑体" w:eastAsia="黑体" w:cs="宋体"/>
          <w:spacing w:val="1"/>
          <w:sz w:val="24"/>
          <w:szCs w:val="24"/>
        </w:rPr>
        <w:t>（3）</w:t>
      </w:r>
      <w:r>
        <w:rPr>
          <w:rFonts w:hint="eastAsia" w:ascii="黑体" w:eastAsia="黑体"/>
          <w:sz w:val="24"/>
          <w:szCs w:val="24"/>
        </w:rPr>
        <w:t>具有履行合同所必需的设备和专业技术能力（根据项目需求提供履行合同所必需的设备和专业技术能力的声明及证明材料复印件加盖公章）</w:t>
      </w:r>
      <w:r>
        <w:rPr>
          <w:rFonts w:hint="eastAsia" w:ascii="黑体" w:eastAsia="黑体" w:cs="宋体"/>
          <w:sz w:val="24"/>
          <w:szCs w:val="24"/>
        </w:rPr>
        <w:t>；</w:t>
      </w:r>
    </w:p>
    <w:p w14:paraId="43781D25">
      <w:pPr>
        <w:autoSpaceDE w:val="0"/>
        <w:autoSpaceDN w:val="0"/>
        <w:ind w:firstLine="480" w:firstLineChars="200"/>
        <w:jc w:val="left"/>
        <w:rPr>
          <w:rFonts w:ascii="黑体" w:eastAsia="黑体"/>
          <w:sz w:val="24"/>
          <w:szCs w:val="24"/>
        </w:rPr>
      </w:pPr>
      <w:r>
        <w:rPr>
          <w:rFonts w:hint="eastAsia" w:ascii="黑体" w:eastAsia="黑体" w:cs="宋体"/>
          <w:sz w:val="24"/>
          <w:szCs w:val="24"/>
        </w:rPr>
        <w:t>（4）</w:t>
      </w:r>
      <w:r>
        <w:rPr>
          <w:rFonts w:hint="eastAsia" w:ascii="黑体" w:eastAsia="黑体"/>
          <w:sz w:val="24"/>
          <w:szCs w:val="24"/>
        </w:rPr>
        <w:t>有依法缴纳税收和社会保障资金的良好记录[提供参加本次竞争性磋商采购活动前（一个月）依法缴纳税收和社会保障资金的相关材料复印件加盖公章]；</w:t>
      </w:r>
    </w:p>
    <w:p w14:paraId="2A474DE8">
      <w:pPr>
        <w:autoSpaceDE w:val="0"/>
        <w:autoSpaceDN w:val="0"/>
        <w:ind w:firstLine="484" w:firstLineChars="200"/>
        <w:jc w:val="left"/>
        <w:rPr>
          <w:rFonts w:ascii="黑体" w:eastAsia="黑体"/>
          <w:sz w:val="24"/>
          <w:szCs w:val="24"/>
        </w:rPr>
      </w:pPr>
      <w:r>
        <w:rPr>
          <w:rFonts w:hint="eastAsia" w:ascii="黑体" w:eastAsia="黑体" w:cs="宋体"/>
          <w:spacing w:val="1"/>
          <w:sz w:val="24"/>
          <w:szCs w:val="24"/>
        </w:rPr>
        <w:t>（5）</w:t>
      </w:r>
      <w:r>
        <w:rPr>
          <w:rFonts w:hint="eastAsia" w:ascii="黑体" w:eastAsia="黑体"/>
          <w:sz w:val="24"/>
          <w:szCs w:val="24"/>
        </w:rPr>
        <w:t>参加政府采购活动前三年内，在经营活动中没有重大违法记录（提供参加本次竞争性磋商采购活动前3年内在经营活动中没有重大违法记录的书面声明原件）（格式自拟）；</w:t>
      </w:r>
    </w:p>
    <w:bookmarkEnd w:id="21"/>
    <w:bookmarkEnd w:id="22"/>
    <w:p w14:paraId="5ED184E6">
      <w:pPr>
        <w:spacing w:line="540" w:lineRule="exact"/>
        <w:jc w:val="center"/>
        <w:rPr>
          <w:rFonts w:ascii="黑体" w:eastAsia="黑体"/>
          <w:b/>
          <w:sz w:val="32"/>
          <w:szCs w:val="32"/>
        </w:rPr>
      </w:pPr>
    </w:p>
    <w:p w14:paraId="3E19D403">
      <w:pPr>
        <w:spacing w:line="540" w:lineRule="exact"/>
        <w:jc w:val="center"/>
        <w:rPr>
          <w:rFonts w:ascii="黑体" w:eastAsia="黑体"/>
          <w:b/>
          <w:sz w:val="32"/>
          <w:szCs w:val="32"/>
        </w:rPr>
      </w:pPr>
    </w:p>
    <w:p w14:paraId="1347FD19">
      <w:pPr>
        <w:spacing w:line="540" w:lineRule="exact"/>
        <w:jc w:val="center"/>
        <w:rPr>
          <w:rFonts w:ascii="黑体" w:eastAsia="黑体"/>
          <w:b/>
          <w:sz w:val="32"/>
          <w:szCs w:val="32"/>
        </w:rPr>
      </w:pPr>
    </w:p>
    <w:p w14:paraId="078C79E5">
      <w:pPr>
        <w:spacing w:line="540" w:lineRule="exact"/>
        <w:jc w:val="center"/>
        <w:rPr>
          <w:rFonts w:ascii="黑体" w:eastAsia="黑体"/>
          <w:b/>
          <w:sz w:val="32"/>
          <w:szCs w:val="32"/>
        </w:rPr>
      </w:pPr>
    </w:p>
    <w:p w14:paraId="4FB334E4">
      <w:pPr>
        <w:spacing w:line="540" w:lineRule="exact"/>
        <w:jc w:val="center"/>
        <w:rPr>
          <w:rFonts w:ascii="黑体" w:eastAsia="黑体"/>
          <w:b/>
          <w:sz w:val="32"/>
          <w:szCs w:val="32"/>
        </w:rPr>
      </w:pPr>
    </w:p>
    <w:p w14:paraId="3344BB3D">
      <w:pPr>
        <w:spacing w:line="540" w:lineRule="exact"/>
        <w:jc w:val="center"/>
        <w:rPr>
          <w:rFonts w:ascii="黑体" w:eastAsia="黑体"/>
          <w:b/>
          <w:sz w:val="32"/>
          <w:szCs w:val="32"/>
        </w:rPr>
      </w:pPr>
    </w:p>
    <w:p w14:paraId="0723E25E">
      <w:pPr>
        <w:spacing w:line="540" w:lineRule="exact"/>
        <w:jc w:val="center"/>
        <w:rPr>
          <w:rFonts w:ascii="黑体" w:eastAsia="黑体"/>
          <w:b/>
          <w:sz w:val="32"/>
          <w:szCs w:val="32"/>
        </w:rPr>
      </w:pPr>
    </w:p>
    <w:p w14:paraId="19075613">
      <w:pPr>
        <w:spacing w:line="540" w:lineRule="exact"/>
        <w:jc w:val="center"/>
        <w:rPr>
          <w:rFonts w:ascii="黑体" w:eastAsia="黑体"/>
          <w:b/>
          <w:sz w:val="32"/>
          <w:szCs w:val="32"/>
        </w:rPr>
      </w:pPr>
    </w:p>
    <w:p w14:paraId="09148099">
      <w:pPr>
        <w:spacing w:line="540" w:lineRule="exact"/>
        <w:jc w:val="center"/>
        <w:rPr>
          <w:rFonts w:ascii="黑体" w:eastAsia="黑体"/>
          <w:b/>
          <w:sz w:val="32"/>
          <w:szCs w:val="32"/>
        </w:rPr>
      </w:pPr>
    </w:p>
    <w:p w14:paraId="56565113">
      <w:pPr>
        <w:spacing w:line="540" w:lineRule="exact"/>
        <w:jc w:val="center"/>
        <w:rPr>
          <w:rFonts w:ascii="黑体" w:eastAsia="黑体"/>
          <w:b/>
          <w:sz w:val="32"/>
          <w:szCs w:val="32"/>
        </w:rPr>
      </w:pPr>
    </w:p>
    <w:p w14:paraId="1B43E7E9">
      <w:pPr>
        <w:spacing w:line="540" w:lineRule="exact"/>
        <w:jc w:val="center"/>
        <w:rPr>
          <w:rFonts w:ascii="黑体" w:eastAsia="黑体"/>
          <w:b/>
          <w:sz w:val="32"/>
          <w:szCs w:val="32"/>
        </w:rPr>
      </w:pPr>
    </w:p>
    <w:p w14:paraId="03391FA5">
      <w:pPr>
        <w:spacing w:line="540" w:lineRule="exact"/>
        <w:jc w:val="center"/>
        <w:rPr>
          <w:rFonts w:ascii="黑体" w:eastAsia="黑体"/>
          <w:b/>
          <w:sz w:val="32"/>
          <w:szCs w:val="32"/>
        </w:rPr>
      </w:pPr>
    </w:p>
    <w:p w14:paraId="4E8D8236">
      <w:pPr>
        <w:spacing w:line="540" w:lineRule="exact"/>
        <w:jc w:val="center"/>
        <w:rPr>
          <w:rFonts w:ascii="黑体" w:eastAsia="黑体"/>
          <w:b/>
          <w:sz w:val="32"/>
          <w:szCs w:val="32"/>
        </w:rPr>
      </w:pPr>
    </w:p>
    <w:p w14:paraId="3397A053">
      <w:pPr>
        <w:spacing w:line="540" w:lineRule="exact"/>
        <w:jc w:val="center"/>
        <w:rPr>
          <w:rFonts w:ascii="黑体" w:eastAsia="黑体"/>
          <w:b/>
          <w:sz w:val="32"/>
          <w:szCs w:val="32"/>
        </w:rPr>
      </w:pPr>
    </w:p>
    <w:p w14:paraId="59239D11">
      <w:pPr>
        <w:spacing w:line="540" w:lineRule="exact"/>
        <w:jc w:val="center"/>
        <w:rPr>
          <w:rFonts w:ascii="黑体" w:eastAsia="黑体"/>
          <w:b/>
          <w:sz w:val="32"/>
          <w:szCs w:val="32"/>
        </w:rPr>
      </w:pPr>
    </w:p>
    <w:p w14:paraId="331CF0B2">
      <w:pPr>
        <w:spacing w:line="540" w:lineRule="exact"/>
        <w:jc w:val="center"/>
        <w:rPr>
          <w:rFonts w:ascii="黑体" w:eastAsia="黑体"/>
          <w:b/>
          <w:sz w:val="32"/>
          <w:szCs w:val="32"/>
        </w:rPr>
      </w:pPr>
    </w:p>
    <w:p w14:paraId="497B2EA4">
      <w:pPr>
        <w:spacing w:line="540" w:lineRule="exact"/>
        <w:jc w:val="center"/>
        <w:rPr>
          <w:rFonts w:ascii="黑体" w:eastAsia="黑体"/>
          <w:b/>
          <w:sz w:val="32"/>
          <w:szCs w:val="32"/>
        </w:rPr>
      </w:pPr>
      <w:r>
        <w:rPr>
          <w:rFonts w:hint="eastAsia" w:ascii="黑体" w:eastAsia="黑体"/>
          <w:b/>
          <w:sz w:val="32"/>
          <w:szCs w:val="32"/>
        </w:rPr>
        <w:t>二、竞争性磋商申请及声明</w:t>
      </w:r>
    </w:p>
    <w:p w14:paraId="78EBED31">
      <w:pPr>
        <w:pStyle w:val="7"/>
        <w:ind w:firstLine="400"/>
        <w:rPr>
          <w:rFonts w:ascii="宋体" w:eastAsia="宋体"/>
          <w:sz w:val="20"/>
          <w:szCs w:val="21"/>
        </w:rPr>
      </w:pPr>
    </w:p>
    <w:p w14:paraId="5D9A647E">
      <w:pPr>
        <w:ind w:firstLine="420" w:firstLineChars="200"/>
        <w:rPr>
          <w:rFonts w:ascii="宋体"/>
          <w:snapToGrid w:val="0"/>
        </w:rPr>
      </w:pPr>
      <w:r>
        <w:rPr>
          <w:rFonts w:hint="eastAsia" w:ascii="宋体"/>
          <w:snapToGrid w:val="0"/>
        </w:rPr>
        <w:t xml:space="preserve"> 根据贵方</w:t>
      </w:r>
      <w:r>
        <w:rPr>
          <w:rFonts w:hint="eastAsia" w:ascii="宋体"/>
          <w:snapToGrid w:val="0"/>
          <w:u w:val="single"/>
        </w:rPr>
        <w:t xml:space="preserve">                            </w:t>
      </w:r>
      <w:r>
        <w:rPr>
          <w:rFonts w:hint="eastAsia" w:ascii="宋体"/>
          <w:snapToGrid w:val="0"/>
        </w:rPr>
        <w:t>（项目名称）竞争性磋商公告，正式授权下述签字人</w:t>
      </w:r>
      <w:r>
        <w:rPr>
          <w:rFonts w:hint="eastAsia" w:ascii="宋体"/>
          <w:snapToGrid w:val="0"/>
          <w:u w:val="single"/>
        </w:rPr>
        <w:t xml:space="preserve">                   </w:t>
      </w:r>
      <w:r>
        <w:rPr>
          <w:rFonts w:hint="eastAsia" w:ascii="宋体"/>
          <w:snapToGrid w:val="0"/>
        </w:rPr>
        <w:t>(姓名和职务)代表</w:t>
      </w:r>
      <w:r>
        <w:rPr>
          <w:rFonts w:hint="eastAsia" w:ascii="宋体"/>
          <w:snapToGrid w:val="0"/>
          <w:u w:val="single"/>
        </w:rPr>
        <w:t xml:space="preserve">                        </w:t>
      </w:r>
      <w:r>
        <w:rPr>
          <w:rFonts w:hint="eastAsia" w:ascii="宋体"/>
          <w:snapToGrid w:val="0"/>
        </w:rPr>
        <w:t>（供应商名称），提交竞争性磋商响应性文件。</w:t>
      </w:r>
    </w:p>
    <w:p w14:paraId="0D641337">
      <w:pPr>
        <w:ind w:firstLine="420" w:firstLineChars="200"/>
        <w:rPr>
          <w:rFonts w:ascii="宋体"/>
          <w:snapToGrid w:val="0"/>
        </w:rPr>
      </w:pPr>
      <w:r>
        <w:rPr>
          <w:rFonts w:hint="eastAsia" w:ascii="宋体"/>
          <w:snapToGrid w:val="0"/>
        </w:rPr>
        <w:t>据此函，签字人兹宣布同意如下：</w:t>
      </w:r>
    </w:p>
    <w:p w14:paraId="53E9A531">
      <w:pPr>
        <w:ind w:firstLine="420" w:firstLineChars="200"/>
        <w:rPr>
          <w:rFonts w:ascii="宋体"/>
          <w:snapToGrid w:val="0"/>
        </w:rPr>
      </w:pPr>
      <w:r>
        <w:rPr>
          <w:rFonts w:hint="eastAsia" w:ascii="宋体"/>
          <w:snapToGrid w:val="0"/>
        </w:rPr>
        <w:t>1、我们的资格条件完全符合政府采购法和本次采购要求，我们同意并向贵方提供了与本次采购活动有关的所有证据和资料。</w:t>
      </w:r>
    </w:p>
    <w:p w14:paraId="0BEE1C38">
      <w:pPr>
        <w:ind w:firstLine="420" w:firstLineChars="200"/>
        <w:rPr>
          <w:rFonts w:ascii="宋体"/>
          <w:snapToGrid w:val="0"/>
        </w:rPr>
      </w:pPr>
      <w:r>
        <w:rPr>
          <w:rFonts w:hint="eastAsia" w:ascii="宋体"/>
          <w:snapToGrid w:val="0"/>
        </w:rPr>
        <w:t>2、总报价为（大写）</w:t>
      </w:r>
      <w:r>
        <w:rPr>
          <w:rFonts w:hint="eastAsia" w:ascii="宋体"/>
          <w:snapToGrid w:val="0"/>
          <w:u w:val="single"/>
        </w:rPr>
        <w:t xml:space="preserve">             </w:t>
      </w:r>
      <w:r>
        <w:rPr>
          <w:rFonts w:hint="eastAsia" w:ascii="宋体"/>
          <w:snapToGrid w:val="0"/>
        </w:rPr>
        <w:t>元。</w:t>
      </w:r>
    </w:p>
    <w:p w14:paraId="2BD49399">
      <w:pPr>
        <w:ind w:firstLine="420" w:firstLineChars="200"/>
        <w:rPr>
          <w:rFonts w:ascii="宋体"/>
          <w:snapToGrid w:val="0"/>
        </w:rPr>
      </w:pPr>
      <w:r>
        <w:rPr>
          <w:rFonts w:hint="eastAsia" w:ascii="宋体"/>
          <w:snapToGrid w:val="0"/>
        </w:rPr>
        <w:t>3、我们已详细阅读全部竞争性磋商文件及其有效补充文件，我们放弃对竞争性磋商文件任何误解的权利，提交响应文件后，不对竞争性磋商文件本身提出质疑。</w:t>
      </w:r>
    </w:p>
    <w:p w14:paraId="6DC1A263">
      <w:pPr>
        <w:ind w:firstLine="420" w:firstLineChars="200"/>
        <w:rPr>
          <w:rFonts w:ascii="宋体"/>
          <w:snapToGrid w:val="0"/>
        </w:rPr>
      </w:pPr>
      <w:r>
        <w:rPr>
          <w:rFonts w:hint="eastAsia" w:ascii="宋体"/>
          <w:snapToGrid w:val="0"/>
        </w:rPr>
        <w:t>4、一旦我方成交，我方将根据文件的规定，严格履行合同，保证于承诺的时间内完成设计服务，并交付采购人验收、使用。</w:t>
      </w:r>
    </w:p>
    <w:p w14:paraId="2029C840">
      <w:pPr>
        <w:ind w:firstLine="420" w:firstLineChars="200"/>
        <w:rPr>
          <w:rFonts w:ascii="宋体"/>
          <w:snapToGrid w:val="0"/>
        </w:rPr>
      </w:pPr>
      <w:r>
        <w:rPr>
          <w:rFonts w:hint="eastAsia" w:ascii="宋体"/>
          <w:snapToGrid w:val="0"/>
        </w:rPr>
        <w:t>5、我方决不提供虚假材料谋取成交，决不采取不正当手段诋毁、排挤其他供应商，决不与采购人、其</w:t>
      </w:r>
      <w:r>
        <w:rPr>
          <w:rFonts w:hint="eastAsia" w:ascii="宋体"/>
          <w:snapToGrid w:val="0"/>
          <w:lang w:eastAsia="zh-CN"/>
        </w:rPr>
        <w:t>他</w:t>
      </w:r>
      <w:r>
        <w:rPr>
          <w:rFonts w:hint="eastAsia" w:ascii="宋体"/>
          <w:snapToGrid w:val="0"/>
        </w:rPr>
        <w:t>供应商恶意串通，决不向采购人和采购小组进行商业贿赂，决不拒绝有关部门监督检查或提供虚假情况，如有违反，无条件接受贵方及相关管理部门的处罚。</w:t>
      </w:r>
    </w:p>
    <w:p w14:paraId="11705C85">
      <w:pPr>
        <w:ind w:firstLine="420" w:firstLineChars="200"/>
        <w:rPr>
          <w:rFonts w:ascii="宋体"/>
          <w:snapToGrid w:val="0"/>
        </w:rPr>
      </w:pPr>
      <w:r>
        <w:rPr>
          <w:rFonts w:hint="eastAsia" w:ascii="宋体"/>
          <w:snapToGrid w:val="0"/>
        </w:rPr>
        <w:t>6、我方正式通讯方式为：</w:t>
      </w:r>
    </w:p>
    <w:p w14:paraId="5445AD28">
      <w:pPr>
        <w:ind w:firstLine="420" w:firstLineChars="200"/>
        <w:rPr>
          <w:rFonts w:ascii="宋体"/>
          <w:snapToGrid w:val="0"/>
        </w:rPr>
      </w:pPr>
      <w:r>
        <w:rPr>
          <w:rFonts w:hint="eastAsia" w:ascii="宋体"/>
          <w:snapToGrid w:val="0"/>
        </w:rPr>
        <w:t xml:space="preserve">地   址：                       </w:t>
      </w:r>
    </w:p>
    <w:p w14:paraId="3BA0F81C">
      <w:pPr>
        <w:ind w:firstLine="420" w:firstLineChars="200"/>
        <w:rPr>
          <w:rFonts w:ascii="宋体"/>
          <w:snapToGrid w:val="0"/>
        </w:rPr>
      </w:pPr>
      <w:r>
        <w:rPr>
          <w:rFonts w:hint="eastAsia" w:ascii="宋体"/>
          <w:snapToGrid w:val="0"/>
        </w:rPr>
        <w:t xml:space="preserve">电   话：                       </w:t>
      </w:r>
    </w:p>
    <w:p w14:paraId="3CC46CD9">
      <w:pPr>
        <w:ind w:firstLine="420" w:firstLineChars="200"/>
        <w:rPr>
          <w:rFonts w:ascii="宋体"/>
          <w:snapToGrid w:val="0"/>
        </w:rPr>
      </w:pPr>
      <w:r>
        <w:rPr>
          <w:rFonts w:hint="eastAsia" w:ascii="宋体"/>
          <w:snapToGrid w:val="0"/>
        </w:rPr>
        <w:t xml:space="preserve">传   真：                       </w:t>
      </w:r>
    </w:p>
    <w:p w14:paraId="38CDDDE5">
      <w:pPr>
        <w:ind w:firstLine="420" w:firstLineChars="200"/>
        <w:rPr>
          <w:rFonts w:ascii="宋体"/>
          <w:snapToGrid w:val="0"/>
        </w:rPr>
      </w:pPr>
      <w:r>
        <w:rPr>
          <w:rFonts w:hint="eastAsia" w:ascii="宋体"/>
          <w:snapToGrid w:val="0"/>
        </w:rPr>
        <w:t>8、我方正式开户银行和账号为：</w:t>
      </w:r>
    </w:p>
    <w:p w14:paraId="74C99D8F">
      <w:pPr>
        <w:ind w:firstLine="420" w:firstLineChars="200"/>
        <w:rPr>
          <w:rFonts w:ascii="宋体"/>
          <w:snapToGrid w:val="0"/>
        </w:rPr>
      </w:pPr>
      <w:r>
        <w:rPr>
          <w:rFonts w:hint="eastAsia" w:ascii="宋体"/>
          <w:snapToGrid w:val="0"/>
        </w:rPr>
        <w:t xml:space="preserve">开户银行：                       </w:t>
      </w:r>
    </w:p>
    <w:p w14:paraId="04E30B96">
      <w:pPr>
        <w:ind w:firstLine="420" w:firstLineChars="200"/>
        <w:rPr>
          <w:rFonts w:ascii="宋体"/>
          <w:snapToGrid w:val="0"/>
        </w:rPr>
      </w:pPr>
      <w:r>
        <w:rPr>
          <w:rFonts w:hint="eastAsia" w:ascii="宋体"/>
          <w:snapToGrid w:val="0"/>
        </w:rPr>
        <w:t xml:space="preserve">账    号：                       </w:t>
      </w:r>
    </w:p>
    <w:p w14:paraId="1E4DFAFE">
      <w:pPr>
        <w:ind w:firstLine="420" w:firstLineChars="200"/>
        <w:rPr>
          <w:rFonts w:ascii="宋体"/>
          <w:snapToGrid w:val="0"/>
        </w:rPr>
      </w:pPr>
      <w:r>
        <w:rPr>
          <w:rFonts w:hint="eastAsia" w:ascii="宋体"/>
          <w:snapToGrid w:val="0"/>
        </w:rPr>
        <w:t xml:space="preserve">供应商授权代表姓名（签字或签章）：         </w:t>
      </w:r>
    </w:p>
    <w:p w14:paraId="61146AC4">
      <w:pPr>
        <w:ind w:firstLine="420" w:firstLineChars="200"/>
        <w:rPr>
          <w:rFonts w:ascii="宋体"/>
          <w:snapToGrid w:val="0"/>
        </w:rPr>
      </w:pPr>
      <w:r>
        <w:rPr>
          <w:rFonts w:hint="eastAsia" w:ascii="宋体"/>
          <w:snapToGrid w:val="0"/>
        </w:rPr>
        <w:t xml:space="preserve">供应商名称（公章）：                 </w:t>
      </w:r>
    </w:p>
    <w:p w14:paraId="390E9C9F">
      <w:pPr>
        <w:ind w:firstLine="420" w:firstLineChars="200"/>
        <w:rPr>
          <w:rFonts w:ascii="宋体"/>
          <w:snapToGrid w:val="0"/>
        </w:rPr>
      </w:pPr>
      <w:r>
        <w:rPr>
          <w:rFonts w:hint="eastAsia" w:ascii="宋体"/>
          <w:snapToGrid w:val="0"/>
        </w:rPr>
        <w:t>日    期：      年     月     日</w:t>
      </w:r>
      <w:r>
        <w:rPr>
          <w:rFonts w:hint="eastAsia" w:ascii="宋体"/>
          <w:snapToGrid w:val="0"/>
        </w:rPr>
        <w:br w:type="page"/>
      </w:r>
    </w:p>
    <w:p w14:paraId="1070341B">
      <w:pPr>
        <w:spacing w:line="540" w:lineRule="exact"/>
        <w:jc w:val="center"/>
        <w:rPr>
          <w:rFonts w:ascii="黑体" w:eastAsia="黑体"/>
          <w:b/>
          <w:sz w:val="32"/>
          <w:szCs w:val="32"/>
        </w:rPr>
      </w:pPr>
      <w:r>
        <w:rPr>
          <w:rFonts w:hint="eastAsia" w:ascii="黑体" w:eastAsia="黑体"/>
          <w:b/>
          <w:sz w:val="32"/>
          <w:szCs w:val="32"/>
        </w:rPr>
        <w:t>三、法定代表人授权书</w:t>
      </w:r>
    </w:p>
    <w:p w14:paraId="41D153DD">
      <w:pPr>
        <w:autoSpaceDE w:val="0"/>
        <w:autoSpaceDN w:val="0"/>
        <w:adjustRightInd w:val="0"/>
        <w:spacing w:line="540" w:lineRule="exact"/>
        <w:jc w:val="center"/>
        <w:rPr>
          <w:rFonts w:ascii="宋体"/>
        </w:rPr>
      </w:pPr>
      <w:r>
        <w:rPr>
          <w:rFonts w:hint="eastAsia" w:ascii="宋体"/>
        </w:rPr>
        <w:t>（如果是法定代表人直接参与本次竞争性磋商采购的可以不提供授权书）</w:t>
      </w:r>
    </w:p>
    <w:p w14:paraId="569F395C">
      <w:pPr>
        <w:autoSpaceDE w:val="0"/>
        <w:autoSpaceDN w:val="0"/>
        <w:adjustRightInd w:val="0"/>
        <w:spacing w:line="540" w:lineRule="exact"/>
        <w:ind w:firstLine="420" w:firstLineChars="200"/>
        <w:rPr>
          <w:rFonts w:ascii="宋体"/>
        </w:rPr>
      </w:pPr>
    </w:p>
    <w:p w14:paraId="7D371DD4">
      <w:pPr>
        <w:autoSpaceDE w:val="0"/>
        <w:autoSpaceDN w:val="0"/>
        <w:adjustRightInd w:val="0"/>
        <w:spacing w:line="540" w:lineRule="exact"/>
        <w:ind w:firstLine="420" w:firstLineChars="200"/>
        <w:rPr>
          <w:rFonts w:ascii="宋体"/>
        </w:rPr>
      </w:pPr>
      <w:r>
        <w:rPr>
          <w:rFonts w:hint="eastAsia" w:ascii="宋体"/>
        </w:rPr>
        <w:t>本授权书声明：注册于</w:t>
      </w:r>
      <w:r>
        <w:rPr>
          <w:rFonts w:hint="eastAsia" w:ascii="宋体"/>
          <w:u w:val="single"/>
        </w:rPr>
        <w:t xml:space="preserve">                   </w:t>
      </w:r>
      <w:r>
        <w:rPr>
          <w:rFonts w:hint="eastAsia" w:ascii="宋体"/>
        </w:rPr>
        <w:t>（供应商住址）的</w:t>
      </w:r>
      <w:r>
        <w:rPr>
          <w:rFonts w:hint="eastAsia" w:ascii="宋体"/>
          <w:u w:val="single"/>
        </w:rPr>
        <w:t xml:space="preserve">                </w:t>
      </w:r>
      <w:r>
        <w:rPr>
          <w:rFonts w:hint="eastAsia" w:ascii="宋体"/>
        </w:rPr>
        <w:t>（供应商名称）法定代表人</w:t>
      </w:r>
      <w:r>
        <w:rPr>
          <w:rFonts w:hint="eastAsia" w:ascii="宋体"/>
          <w:u w:val="single"/>
        </w:rPr>
        <w:t xml:space="preserve">                      </w:t>
      </w:r>
      <w:r>
        <w:rPr>
          <w:rFonts w:hint="eastAsia" w:ascii="宋体"/>
        </w:rPr>
        <w:t>（法定代表人姓名、职务）代表本公司授权在下面签字的</w:t>
      </w:r>
      <w:r>
        <w:rPr>
          <w:rFonts w:hint="eastAsia" w:ascii="宋体"/>
          <w:u w:val="single"/>
        </w:rPr>
        <w:t xml:space="preserve">                       </w:t>
      </w:r>
      <w:r>
        <w:rPr>
          <w:rFonts w:hint="eastAsia" w:ascii="宋体"/>
        </w:rPr>
        <w:t>（供应商代表姓名、职务）为本公司的合法代理人，就贵方组织的（项目名称）</w:t>
      </w:r>
      <w:r>
        <w:rPr>
          <w:rFonts w:hint="eastAsia" w:ascii="宋体"/>
          <w:bCs/>
          <w:u w:val="single"/>
        </w:rPr>
        <w:t xml:space="preserve">                    </w:t>
      </w:r>
      <w:r>
        <w:rPr>
          <w:rFonts w:hint="eastAsia" w:ascii="宋体"/>
        </w:rPr>
        <w:t>，进行竞争性磋商</w:t>
      </w:r>
      <w:r>
        <w:rPr>
          <w:rFonts w:ascii="宋体"/>
        </w:rPr>
        <w:t>报价，</w:t>
      </w:r>
      <w:r>
        <w:rPr>
          <w:rFonts w:hint="eastAsia" w:ascii="宋体"/>
        </w:rPr>
        <w:t>以本公司名义处理一切与之有关的事务。</w:t>
      </w:r>
    </w:p>
    <w:p w14:paraId="628A533F">
      <w:pPr>
        <w:autoSpaceDE w:val="0"/>
        <w:autoSpaceDN w:val="0"/>
        <w:adjustRightInd w:val="0"/>
        <w:spacing w:line="540" w:lineRule="exact"/>
        <w:ind w:firstLine="420" w:firstLineChars="200"/>
        <w:rPr>
          <w:rFonts w:ascii="宋体"/>
        </w:rPr>
      </w:pPr>
      <w:r>
        <w:rPr>
          <w:rFonts w:hint="eastAsia" w:ascii="宋体"/>
        </w:rPr>
        <w:t>本授权书于        年   月   日签字或签章生效，特此声明。</w:t>
      </w:r>
    </w:p>
    <w:p w14:paraId="2F9DA838">
      <w:pPr>
        <w:autoSpaceDE w:val="0"/>
        <w:autoSpaceDN w:val="0"/>
        <w:adjustRightInd w:val="0"/>
        <w:spacing w:line="540" w:lineRule="exact"/>
        <w:ind w:firstLine="420" w:firstLineChars="200"/>
        <w:rPr>
          <w:rFonts w:ascii="宋体"/>
        </w:rPr>
      </w:pPr>
      <w:r>
        <w:rPr>
          <w:rFonts w:hint="eastAsia" w:ascii="宋体"/>
        </w:rPr>
        <w:t>法定代表人签字或签章：</w:t>
      </w:r>
    </w:p>
    <w:p w14:paraId="3B2F916D">
      <w:pPr>
        <w:autoSpaceDE w:val="0"/>
        <w:autoSpaceDN w:val="0"/>
        <w:adjustRightInd w:val="0"/>
        <w:spacing w:line="540" w:lineRule="exact"/>
        <w:ind w:firstLine="420" w:firstLineChars="200"/>
        <w:rPr>
          <w:rFonts w:ascii="宋体"/>
        </w:rPr>
      </w:pPr>
      <w:r>
        <w:rPr>
          <w:rFonts w:hint="eastAsia" w:ascii="宋体"/>
        </w:rPr>
        <w:t xml:space="preserve">被授权人签字：    </w:t>
      </w:r>
    </w:p>
    <w:p w14:paraId="1B20A83B">
      <w:pPr>
        <w:autoSpaceDE w:val="0"/>
        <w:autoSpaceDN w:val="0"/>
        <w:adjustRightInd w:val="0"/>
        <w:spacing w:line="540" w:lineRule="exact"/>
        <w:ind w:firstLine="420" w:firstLineChars="200"/>
        <w:rPr>
          <w:rFonts w:ascii="宋体"/>
        </w:rPr>
      </w:pPr>
      <w:r>
        <w:rPr>
          <w:rFonts w:hint="eastAsia" w:ascii="宋体"/>
        </w:rPr>
        <w:t xml:space="preserve">供应商盖章：                </w:t>
      </w:r>
    </w:p>
    <w:p w14:paraId="79BCBF12">
      <w:pPr>
        <w:tabs>
          <w:tab w:val="left" w:pos="1440"/>
        </w:tabs>
        <w:autoSpaceDE w:val="0"/>
        <w:autoSpaceDN w:val="0"/>
        <w:adjustRightInd w:val="0"/>
        <w:spacing w:line="540" w:lineRule="exact"/>
        <w:ind w:firstLine="420" w:firstLineChars="200"/>
        <w:rPr>
          <w:rFonts w:ascii="宋体"/>
        </w:rPr>
      </w:pPr>
      <w:r>
        <w:rPr>
          <w:rFonts w:hint="eastAsia" w:ascii="宋体"/>
        </w:rPr>
        <w:t>日        期：        年    月    日</w:t>
      </w:r>
    </w:p>
    <w:p w14:paraId="7C68D4A6">
      <w:pPr>
        <w:autoSpaceDE w:val="0"/>
        <w:autoSpaceDN w:val="0"/>
        <w:adjustRightInd w:val="0"/>
        <w:spacing w:line="540" w:lineRule="exact"/>
        <w:rPr>
          <w:rFonts w:ascii="宋体"/>
        </w:rPr>
      </w:pPr>
    </w:p>
    <w:p w14:paraId="2C499E6F">
      <w:pPr>
        <w:autoSpaceDE w:val="0"/>
        <w:autoSpaceDN w:val="0"/>
        <w:adjustRightInd w:val="0"/>
        <w:spacing w:line="540" w:lineRule="exact"/>
        <w:rPr>
          <w:rFonts w:ascii="宋体"/>
          <w:b/>
        </w:rPr>
      </w:pPr>
      <w:r>
        <w:rPr>
          <w:rFonts w:hint="eastAsia" w:ascii="宋体"/>
          <w:b/>
        </w:rPr>
        <w:t>被授权人的身份证明文件的复印件：</w:t>
      </w:r>
    </w:p>
    <w:p w14:paraId="6FB1F98A">
      <w:pPr>
        <w:pStyle w:val="3"/>
        <w:spacing w:line="540" w:lineRule="exact"/>
        <w:rPr>
          <w:rFonts w:cs="宋体"/>
          <w:szCs w:val="21"/>
          <w:lang w:val="zh-CN"/>
        </w:rPr>
      </w:pPr>
      <w:r>
        <w:rPr>
          <w:rFonts w:hint="eastAsia" w:cs="宋体"/>
          <w:szCs w:val="21"/>
          <w:lang w:val="zh-CN"/>
        </w:rPr>
        <w:br w:type="page"/>
      </w:r>
    </w:p>
    <w:p w14:paraId="62B2383B">
      <w:pPr>
        <w:spacing w:line="420" w:lineRule="auto"/>
        <w:jc w:val="center"/>
        <w:rPr>
          <w:rFonts w:ascii="黑体" w:eastAsia="黑体"/>
          <w:b/>
          <w:sz w:val="32"/>
          <w:szCs w:val="32"/>
        </w:rPr>
      </w:pPr>
      <w:r>
        <w:rPr>
          <w:rFonts w:hint="eastAsia" w:ascii="黑体" w:eastAsia="黑体"/>
          <w:b/>
          <w:sz w:val="32"/>
          <w:szCs w:val="32"/>
        </w:rPr>
        <w:t>四、“不存在与参加本项目的其他供应商单位负责人为同一人或者存在直接控股、管理关系”的承诺函</w:t>
      </w:r>
    </w:p>
    <w:p w14:paraId="3A2FC547">
      <w:pPr>
        <w:widowControl/>
        <w:spacing w:line="420" w:lineRule="auto"/>
        <w:rPr>
          <w:rFonts w:ascii="宋体"/>
        </w:rPr>
      </w:pPr>
    </w:p>
    <w:p w14:paraId="308DC9F2">
      <w:pPr>
        <w:widowControl/>
        <w:spacing w:line="420" w:lineRule="auto"/>
        <w:rPr>
          <w:rFonts w:ascii="宋体"/>
        </w:rPr>
      </w:pPr>
      <w:r>
        <w:rPr>
          <w:rFonts w:hint="eastAsia" w:ascii="宋体"/>
        </w:rPr>
        <w:t>致：</w:t>
      </w:r>
      <w:r>
        <w:rPr>
          <w:rFonts w:hint="eastAsia" w:ascii="宋体"/>
          <w:bCs/>
        </w:rPr>
        <w:t>南京市雨花台烈士陵园管理局</w:t>
      </w:r>
    </w:p>
    <w:p w14:paraId="43F5DBDC">
      <w:pPr>
        <w:widowControl/>
        <w:snapToGrid w:val="0"/>
        <w:spacing w:line="420" w:lineRule="auto"/>
        <w:rPr>
          <w:rFonts w:ascii="宋体"/>
        </w:rPr>
      </w:pPr>
      <w:r>
        <w:rPr>
          <w:rFonts w:hint="eastAsia" w:ascii="宋体"/>
        </w:rPr>
        <w:t xml:space="preserve">    根据贵方</w:t>
      </w:r>
      <w:r>
        <w:rPr>
          <w:rFonts w:hint="eastAsia" w:ascii="宋体"/>
          <w:u w:val="single"/>
        </w:rPr>
        <w:t>                          </w:t>
      </w:r>
      <w:r>
        <w:rPr>
          <w:rFonts w:hint="eastAsia" w:ascii="宋体"/>
        </w:rPr>
        <w:t>（项目名称） </w:t>
      </w:r>
      <w:r>
        <w:rPr>
          <w:rFonts w:hint="eastAsia" w:ascii="宋体"/>
          <w:u w:val="single"/>
        </w:rPr>
        <w:t>        </w:t>
      </w:r>
      <w:r>
        <w:rPr>
          <w:rFonts w:hint="eastAsia" w:ascii="宋体"/>
        </w:rPr>
        <w:t>（项目编号）竞争性磋商公告，我公司郑重承诺：在参加本次政府采购活动不存在与参加本项目的其他供应商单位负责人为同一人或者存在直接控股、管理关系情形。本公司对上述承诺的真实性负责。如有虚假，将依法承担相应责任。</w:t>
      </w:r>
    </w:p>
    <w:p w14:paraId="29B516F7">
      <w:pPr>
        <w:widowControl/>
        <w:snapToGrid w:val="0"/>
        <w:spacing w:line="420" w:lineRule="auto"/>
        <w:rPr>
          <w:rFonts w:ascii="宋体"/>
        </w:rPr>
      </w:pPr>
    </w:p>
    <w:p w14:paraId="487CB074">
      <w:pPr>
        <w:widowControl/>
        <w:snapToGrid w:val="0"/>
        <w:spacing w:line="420" w:lineRule="auto"/>
        <w:rPr>
          <w:rFonts w:ascii="宋体"/>
        </w:rPr>
      </w:pPr>
      <w:r>
        <w:rPr>
          <w:rFonts w:hint="eastAsia" w:ascii="宋体"/>
        </w:rPr>
        <w:t xml:space="preserve">    特此承诺！</w:t>
      </w:r>
    </w:p>
    <w:p w14:paraId="4FD8371D">
      <w:pPr>
        <w:widowControl/>
        <w:spacing w:line="420" w:lineRule="auto"/>
        <w:ind w:firstLine="411" w:firstLineChars="196"/>
        <w:jc w:val="left"/>
        <w:outlineLvl w:val="1"/>
        <w:rPr>
          <w:rFonts w:ascii="宋体"/>
        </w:rPr>
      </w:pPr>
    </w:p>
    <w:p w14:paraId="58B63236">
      <w:pPr>
        <w:widowControl/>
        <w:spacing w:line="420" w:lineRule="auto"/>
        <w:ind w:firstLine="420" w:firstLineChars="200"/>
        <w:rPr>
          <w:rFonts w:ascii="宋体"/>
        </w:rPr>
      </w:pPr>
      <w:r>
        <w:rPr>
          <w:rFonts w:hint="eastAsia" w:ascii="宋体"/>
        </w:rPr>
        <w:t>供应商名称：</w:t>
      </w:r>
      <w:r>
        <w:rPr>
          <w:rFonts w:hint="eastAsia" w:ascii="宋体"/>
          <w:u w:val="single"/>
        </w:rPr>
        <w:t>                 </w:t>
      </w:r>
      <w:r>
        <w:rPr>
          <w:rFonts w:hint="eastAsia" w:ascii="宋体"/>
        </w:rPr>
        <w:t>（盖章）</w:t>
      </w:r>
    </w:p>
    <w:p w14:paraId="1A8EEE01">
      <w:pPr>
        <w:widowControl/>
        <w:spacing w:line="420" w:lineRule="auto"/>
        <w:ind w:firstLine="411" w:firstLineChars="196"/>
        <w:jc w:val="left"/>
        <w:outlineLvl w:val="1"/>
        <w:rPr>
          <w:rFonts w:ascii="宋体"/>
        </w:rPr>
      </w:pPr>
      <w:r>
        <w:rPr>
          <w:rFonts w:hint="eastAsia" w:ascii="宋体"/>
        </w:rPr>
        <w:t>法定代表人或授权代表</w:t>
      </w:r>
      <w:bookmarkStart w:id="23" w:name="_Hlk40775527"/>
      <w:r>
        <w:rPr>
          <w:rFonts w:hint="eastAsia" w:ascii="宋体"/>
        </w:rPr>
        <w:t>（签字或签章）</w:t>
      </w:r>
      <w:bookmarkEnd w:id="23"/>
      <w:r>
        <w:rPr>
          <w:rFonts w:hint="eastAsia" w:ascii="宋体"/>
        </w:rPr>
        <w:t>：</w:t>
      </w:r>
    </w:p>
    <w:p w14:paraId="485E9340">
      <w:pPr>
        <w:spacing w:line="540" w:lineRule="exact"/>
        <w:jc w:val="center"/>
        <w:rPr>
          <w:rFonts w:ascii="黑体" w:eastAsia="黑体"/>
          <w:b/>
          <w:sz w:val="32"/>
          <w:szCs w:val="32"/>
        </w:rPr>
      </w:pPr>
      <w:r>
        <w:rPr>
          <w:rFonts w:hint="eastAsia" w:ascii="宋体"/>
        </w:rPr>
        <w:t>日     期：</w:t>
      </w:r>
      <w:r>
        <w:rPr>
          <w:rFonts w:hint="eastAsia" w:ascii="宋体"/>
          <w:u w:val="single"/>
        </w:rPr>
        <w:t>    </w:t>
      </w:r>
      <w:r>
        <w:rPr>
          <w:rFonts w:hint="eastAsia" w:ascii="宋体"/>
        </w:rPr>
        <w:t>年</w:t>
      </w:r>
      <w:r>
        <w:rPr>
          <w:rFonts w:hint="eastAsia" w:ascii="宋体"/>
          <w:u w:val="single"/>
        </w:rPr>
        <w:t>  </w:t>
      </w:r>
      <w:r>
        <w:rPr>
          <w:rFonts w:hint="eastAsia" w:ascii="宋体"/>
        </w:rPr>
        <w:t>月</w:t>
      </w:r>
      <w:r>
        <w:rPr>
          <w:rFonts w:hint="eastAsia" w:ascii="宋体"/>
          <w:u w:val="single"/>
        </w:rPr>
        <w:t>  </w:t>
      </w:r>
      <w:r>
        <w:rPr>
          <w:rFonts w:hint="eastAsia" w:ascii="宋体"/>
        </w:rPr>
        <w:t>日</w:t>
      </w:r>
    </w:p>
    <w:p w14:paraId="0EFAECBA">
      <w:pPr>
        <w:widowControl/>
        <w:jc w:val="left"/>
        <w:rPr>
          <w:rFonts w:ascii="黑体" w:eastAsia="黑体"/>
          <w:b/>
          <w:sz w:val="32"/>
          <w:szCs w:val="32"/>
        </w:rPr>
      </w:pPr>
      <w:r>
        <w:rPr>
          <w:rFonts w:ascii="黑体" w:eastAsia="黑体"/>
          <w:b/>
          <w:sz w:val="32"/>
          <w:szCs w:val="32"/>
        </w:rPr>
        <w:br w:type="page"/>
      </w:r>
    </w:p>
    <w:p w14:paraId="283B01B5">
      <w:pPr>
        <w:spacing w:line="540" w:lineRule="exact"/>
        <w:jc w:val="center"/>
        <w:rPr>
          <w:rFonts w:ascii="黑体" w:eastAsia="黑体"/>
          <w:b/>
          <w:sz w:val="32"/>
          <w:szCs w:val="32"/>
        </w:rPr>
      </w:pPr>
      <w:r>
        <w:rPr>
          <w:rFonts w:hint="eastAsia" w:ascii="黑体" w:eastAsia="黑体"/>
          <w:b/>
          <w:sz w:val="32"/>
          <w:szCs w:val="32"/>
        </w:rPr>
        <w:t>五、报价一览表</w:t>
      </w:r>
    </w:p>
    <w:p w14:paraId="752F4E7F">
      <w:pPr>
        <w:shd w:val="clear" w:color="auto" w:fill="FFFFFF"/>
        <w:spacing w:line="540" w:lineRule="exact"/>
        <w:jc w:val="center"/>
        <w:rPr>
          <w:rFonts w:ascii="宋体"/>
        </w:rPr>
      </w:pPr>
      <w:r>
        <w:rPr>
          <w:rFonts w:hint="eastAsia" w:ascii="宋体"/>
        </w:rPr>
        <w:t xml:space="preserve">               </w:t>
      </w:r>
    </w:p>
    <w:p w14:paraId="764B3B5A">
      <w:pPr>
        <w:pStyle w:val="4"/>
        <w:spacing w:line="540" w:lineRule="exact"/>
        <w:ind w:firstLine="440"/>
        <w:rPr>
          <w:rFonts w:ascii="宋体"/>
          <w:sz w:val="22"/>
          <w:szCs w:val="22"/>
        </w:rPr>
      </w:pPr>
      <w:r>
        <w:rPr>
          <w:rFonts w:hint="eastAsia" w:ascii="宋体"/>
          <w:sz w:val="22"/>
          <w:szCs w:val="22"/>
        </w:rPr>
        <w:t>项目名称：</w:t>
      </w:r>
      <w:r>
        <w:rPr>
          <w:rFonts w:ascii="宋体"/>
          <w:sz w:val="22"/>
          <w:szCs w:val="22"/>
        </w:rPr>
        <w:t xml:space="preserve"> </w:t>
      </w:r>
      <w:r>
        <w:rPr>
          <w:rFonts w:hint="eastAsia" w:ascii="宋体"/>
          <w:sz w:val="22"/>
          <w:szCs w:val="22"/>
        </w:rPr>
        <w:t xml:space="preserve">                                        </w:t>
      </w:r>
    </w:p>
    <w:tbl>
      <w:tblPr>
        <w:tblStyle w:val="17"/>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62BE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606E62A7">
            <w:pPr>
              <w:pStyle w:val="4"/>
              <w:spacing w:line="540" w:lineRule="exact"/>
              <w:ind w:firstLine="440"/>
              <w:rPr>
                <w:rFonts w:ascii="宋体"/>
                <w:sz w:val="22"/>
                <w:szCs w:val="22"/>
              </w:rPr>
            </w:pPr>
            <w:r>
              <w:rPr>
                <w:rFonts w:hint="eastAsia" w:ascii="宋体"/>
                <w:sz w:val="22"/>
                <w:szCs w:val="22"/>
              </w:rPr>
              <w:t>项目报价</w:t>
            </w:r>
          </w:p>
        </w:tc>
        <w:tc>
          <w:tcPr>
            <w:tcW w:w="968" w:type="dxa"/>
            <w:vAlign w:val="center"/>
          </w:tcPr>
          <w:p w14:paraId="5E5BB961">
            <w:pPr>
              <w:pStyle w:val="4"/>
              <w:spacing w:line="540" w:lineRule="exact"/>
              <w:ind w:firstLine="0" w:firstLineChars="0"/>
              <w:rPr>
                <w:rFonts w:ascii="宋体"/>
                <w:sz w:val="22"/>
                <w:szCs w:val="22"/>
              </w:rPr>
            </w:pPr>
            <w:r>
              <w:rPr>
                <w:rFonts w:hint="eastAsia" w:ascii="宋体"/>
                <w:sz w:val="22"/>
                <w:szCs w:val="22"/>
              </w:rPr>
              <w:t>合计</w:t>
            </w:r>
          </w:p>
        </w:tc>
        <w:tc>
          <w:tcPr>
            <w:tcW w:w="4163" w:type="dxa"/>
            <w:vAlign w:val="center"/>
          </w:tcPr>
          <w:p w14:paraId="4AB2B978">
            <w:pPr>
              <w:pStyle w:val="4"/>
              <w:spacing w:line="540" w:lineRule="exact"/>
              <w:ind w:firstLine="440"/>
              <w:rPr>
                <w:rFonts w:ascii="宋体"/>
                <w:bCs/>
                <w:sz w:val="22"/>
                <w:szCs w:val="22"/>
              </w:rPr>
            </w:pPr>
            <w:r>
              <w:rPr>
                <w:rFonts w:hint="eastAsia" w:ascii="宋体"/>
                <w:sz w:val="22"/>
                <w:szCs w:val="22"/>
              </w:rPr>
              <w:t>小写：人民币</w:t>
            </w:r>
            <w:r>
              <w:rPr>
                <w:rFonts w:ascii="宋体"/>
                <w:sz w:val="22"/>
                <w:szCs w:val="22"/>
              </w:rPr>
              <w:t xml:space="preserve">              </w:t>
            </w:r>
            <w:r>
              <w:rPr>
                <w:rFonts w:ascii="宋体"/>
                <w:bCs/>
                <w:sz w:val="22"/>
                <w:szCs w:val="22"/>
              </w:rPr>
              <w:t xml:space="preserve">    </w:t>
            </w:r>
          </w:p>
          <w:p w14:paraId="7627AE5F">
            <w:pPr>
              <w:pStyle w:val="4"/>
              <w:spacing w:line="540" w:lineRule="exact"/>
              <w:ind w:firstLine="495" w:firstLineChars="225"/>
              <w:rPr>
                <w:rFonts w:ascii="宋体"/>
                <w:sz w:val="22"/>
                <w:szCs w:val="22"/>
              </w:rPr>
            </w:pPr>
          </w:p>
          <w:p w14:paraId="42C55FD4">
            <w:pPr>
              <w:pStyle w:val="4"/>
              <w:spacing w:line="540" w:lineRule="exact"/>
              <w:ind w:firstLine="440"/>
              <w:rPr>
                <w:rFonts w:ascii="宋体"/>
                <w:sz w:val="22"/>
                <w:szCs w:val="22"/>
              </w:rPr>
            </w:pPr>
            <w:r>
              <w:rPr>
                <w:rFonts w:hint="eastAsia" w:ascii="宋体"/>
                <w:sz w:val="22"/>
                <w:szCs w:val="22"/>
              </w:rPr>
              <w:t>大写：人民币</w:t>
            </w:r>
            <w:r>
              <w:rPr>
                <w:rFonts w:ascii="宋体"/>
                <w:sz w:val="22"/>
                <w:szCs w:val="22"/>
              </w:rPr>
              <w:t xml:space="preserve">                     </w:t>
            </w:r>
          </w:p>
        </w:tc>
        <w:tc>
          <w:tcPr>
            <w:tcW w:w="1639" w:type="dxa"/>
            <w:vAlign w:val="center"/>
          </w:tcPr>
          <w:p w14:paraId="799C5F21">
            <w:pPr>
              <w:pStyle w:val="4"/>
              <w:spacing w:line="540" w:lineRule="exact"/>
              <w:ind w:firstLine="440"/>
              <w:rPr>
                <w:rFonts w:ascii="宋体"/>
                <w:bCs/>
                <w:sz w:val="22"/>
                <w:szCs w:val="22"/>
              </w:rPr>
            </w:pPr>
          </w:p>
          <w:p w14:paraId="429758C6">
            <w:pPr>
              <w:pStyle w:val="4"/>
              <w:spacing w:line="540" w:lineRule="exact"/>
              <w:ind w:firstLine="440"/>
              <w:rPr>
                <w:rFonts w:ascii="宋体"/>
                <w:sz w:val="22"/>
                <w:szCs w:val="22"/>
              </w:rPr>
            </w:pPr>
          </w:p>
        </w:tc>
      </w:tr>
      <w:tr w14:paraId="3C99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67BE092D">
            <w:pPr>
              <w:pStyle w:val="4"/>
              <w:spacing w:line="540" w:lineRule="exact"/>
              <w:ind w:firstLine="440"/>
              <w:rPr>
                <w:rFonts w:ascii="宋体"/>
                <w:sz w:val="22"/>
                <w:szCs w:val="22"/>
              </w:rPr>
            </w:pPr>
            <w:r>
              <w:rPr>
                <w:rFonts w:hint="eastAsia" w:ascii="宋体"/>
                <w:sz w:val="22"/>
                <w:szCs w:val="22"/>
              </w:rPr>
              <w:t>服务时间</w:t>
            </w:r>
          </w:p>
        </w:tc>
        <w:tc>
          <w:tcPr>
            <w:tcW w:w="5131" w:type="dxa"/>
            <w:gridSpan w:val="2"/>
            <w:vAlign w:val="center"/>
          </w:tcPr>
          <w:p w14:paraId="31C46A4A">
            <w:pPr>
              <w:pStyle w:val="4"/>
              <w:tabs>
                <w:tab w:val="left" w:pos="3624"/>
              </w:tabs>
              <w:spacing w:line="540" w:lineRule="exact"/>
              <w:ind w:firstLine="495" w:firstLineChars="225"/>
              <w:rPr>
                <w:rFonts w:ascii="宋体"/>
                <w:sz w:val="22"/>
                <w:szCs w:val="22"/>
                <w:u w:val="single"/>
              </w:rPr>
            </w:pPr>
            <w:r>
              <w:rPr>
                <w:rFonts w:hint="eastAsia" w:ascii="宋体"/>
                <w:sz w:val="22"/>
                <w:szCs w:val="22"/>
                <w:u w:val="single"/>
              </w:rPr>
              <w:t>满足文件要求。</w:t>
            </w:r>
          </w:p>
        </w:tc>
        <w:tc>
          <w:tcPr>
            <w:tcW w:w="1639" w:type="dxa"/>
            <w:vAlign w:val="center"/>
          </w:tcPr>
          <w:p w14:paraId="76BEFDC6">
            <w:pPr>
              <w:pStyle w:val="4"/>
              <w:spacing w:line="540" w:lineRule="exact"/>
              <w:ind w:firstLine="495" w:firstLineChars="225"/>
              <w:rPr>
                <w:rFonts w:ascii="宋体"/>
                <w:sz w:val="22"/>
                <w:szCs w:val="22"/>
              </w:rPr>
            </w:pPr>
          </w:p>
          <w:p w14:paraId="705FE888">
            <w:pPr>
              <w:pStyle w:val="4"/>
              <w:spacing w:line="540" w:lineRule="exact"/>
              <w:ind w:firstLine="495" w:firstLineChars="225"/>
              <w:rPr>
                <w:rFonts w:ascii="宋体"/>
                <w:sz w:val="22"/>
                <w:szCs w:val="22"/>
              </w:rPr>
            </w:pPr>
          </w:p>
        </w:tc>
      </w:tr>
    </w:tbl>
    <w:p w14:paraId="5B64FFF1">
      <w:pPr>
        <w:shd w:val="clear" w:color="auto" w:fill="FFFFFF"/>
        <w:spacing w:line="540" w:lineRule="exact"/>
        <w:jc w:val="left"/>
        <w:rPr>
          <w:rFonts w:ascii="宋体"/>
        </w:rPr>
      </w:pPr>
    </w:p>
    <w:p w14:paraId="1E501E8A">
      <w:pPr>
        <w:shd w:val="clear" w:color="auto" w:fill="FFFFFF"/>
        <w:spacing w:line="540" w:lineRule="exact"/>
        <w:jc w:val="left"/>
        <w:rPr>
          <w:rFonts w:ascii="宋体"/>
        </w:rPr>
      </w:pPr>
      <w:r>
        <w:rPr>
          <w:rFonts w:hint="eastAsia" w:ascii="宋体"/>
        </w:rPr>
        <w:t>供应商（盖章）:</w:t>
      </w:r>
      <w:r>
        <w:rPr>
          <w:rFonts w:hint="eastAsia" w:ascii="宋体"/>
          <w:u w:val="single"/>
        </w:rPr>
        <w:t xml:space="preserve">                    </w:t>
      </w:r>
    </w:p>
    <w:p w14:paraId="0BD86493">
      <w:pPr>
        <w:shd w:val="clear" w:color="auto" w:fill="FFFFFF"/>
        <w:spacing w:line="540" w:lineRule="exact"/>
        <w:jc w:val="left"/>
        <w:rPr>
          <w:rFonts w:ascii="宋体"/>
          <w:u w:val="single"/>
        </w:rPr>
      </w:pPr>
      <w:r>
        <w:rPr>
          <w:rFonts w:hint="eastAsia" w:ascii="宋体" w:cs="宋体"/>
          <w:lang w:val="zh-CN"/>
        </w:rPr>
        <w:t>法定代表人或</w:t>
      </w:r>
      <w:r>
        <w:rPr>
          <w:rFonts w:hint="eastAsia" w:ascii="宋体"/>
        </w:rPr>
        <w:t>授权委托人（签字）：</w:t>
      </w:r>
      <w:r>
        <w:rPr>
          <w:rFonts w:hint="eastAsia" w:ascii="宋体"/>
          <w:u w:val="single"/>
        </w:rPr>
        <w:t>       </w:t>
      </w:r>
    </w:p>
    <w:p w14:paraId="51AB0860">
      <w:pPr>
        <w:shd w:val="clear" w:color="auto" w:fill="FFFFFF"/>
        <w:spacing w:line="540" w:lineRule="exact"/>
        <w:jc w:val="left"/>
        <w:rPr>
          <w:rFonts w:ascii="宋体"/>
        </w:rPr>
      </w:pPr>
      <w:r>
        <w:rPr>
          <w:rFonts w:hint="eastAsia" w:ascii="宋体"/>
        </w:rPr>
        <w:t>日    期：   年    月    日</w:t>
      </w:r>
    </w:p>
    <w:p w14:paraId="1A298B3F">
      <w:pPr>
        <w:shd w:val="clear" w:color="auto" w:fill="FFFFFF"/>
        <w:spacing w:line="540" w:lineRule="exact"/>
        <w:jc w:val="left"/>
        <w:rPr>
          <w:rFonts w:ascii="宋体"/>
        </w:rPr>
      </w:pPr>
    </w:p>
    <w:p w14:paraId="064CDF53">
      <w:pPr>
        <w:shd w:val="clear" w:color="auto" w:fill="FFFFFF"/>
        <w:spacing w:line="540" w:lineRule="exact"/>
        <w:jc w:val="left"/>
        <w:rPr>
          <w:rFonts w:ascii="宋体"/>
        </w:rPr>
      </w:pPr>
      <w:r>
        <w:rPr>
          <w:rFonts w:hint="eastAsia" w:ascii="宋体"/>
        </w:rPr>
        <w:t>说明：</w:t>
      </w:r>
    </w:p>
    <w:p w14:paraId="37BC63A8">
      <w:pPr>
        <w:shd w:val="clear" w:color="auto" w:fill="FFFFFF"/>
        <w:spacing w:line="540" w:lineRule="exact"/>
        <w:ind w:firstLine="422" w:firstLineChars="200"/>
        <w:jc w:val="left"/>
        <w:rPr>
          <w:rFonts w:ascii="宋体"/>
          <w:b/>
          <w:bCs/>
        </w:rPr>
      </w:pPr>
      <w:r>
        <w:rPr>
          <w:rFonts w:hint="eastAsia" w:ascii="宋体"/>
          <w:b/>
          <w:bCs/>
        </w:rPr>
        <w:t>本项目仅接受一个价格，不得填报选择性报价方案。若有优惠条款须注明，但不得影响报价，影响项目整体服务要求。</w:t>
      </w:r>
    </w:p>
    <w:p w14:paraId="6661B9F7">
      <w:pPr>
        <w:shd w:val="clear" w:color="auto" w:fill="FFFFFF"/>
        <w:spacing w:line="540" w:lineRule="exact"/>
        <w:ind w:firstLine="422" w:firstLineChars="200"/>
        <w:jc w:val="left"/>
        <w:rPr>
          <w:rFonts w:ascii="宋体"/>
          <w:b/>
          <w:bCs/>
        </w:rPr>
      </w:pPr>
      <w:r>
        <w:rPr>
          <w:rFonts w:hint="eastAsia" w:ascii="宋体"/>
          <w:b/>
          <w:bCs/>
        </w:rPr>
        <w:t>供应商响应文件所报的投标价格（首次报价）不得超过磋商文件规定的预算价、限价，超过磋商文件规定的，按无效投标处理。</w:t>
      </w:r>
    </w:p>
    <w:p w14:paraId="64228B8A">
      <w:pPr>
        <w:shd w:val="clear" w:color="auto" w:fill="FFFFFF"/>
        <w:spacing w:line="540" w:lineRule="exact"/>
        <w:ind w:firstLine="422" w:firstLineChars="200"/>
        <w:jc w:val="left"/>
        <w:rPr>
          <w:rFonts w:ascii="宋体"/>
          <w:b/>
          <w:bCs/>
        </w:rPr>
      </w:pPr>
      <w:r>
        <w:rPr>
          <w:rFonts w:hint="eastAsia" w:ascii="宋体"/>
          <w:b/>
          <w:bCs/>
        </w:rPr>
        <w:t>磋商结束后，磋商小组将要求所有实质性响应的供应商在规定时间内提交最后报价（二次或多次报价）。</w:t>
      </w:r>
    </w:p>
    <w:p w14:paraId="2B98A68D">
      <w:pPr>
        <w:pStyle w:val="23"/>
        <w:ind w:firstLine="420"/>
      </w:pPr>
    </w:p>
    <w:p w14:paraId="2AC45B2C">
      <w:pPr>
        <w:pStyle w:val="23"/>
        <w:ind w:firstLine="420"/>
      </w:pPr>
    </w:p>
    <w:p w14:paraId="0499EAC6">
      <w:pPr>
        <w:pStyle w:val="23"/>
        <w:ind w:firstLine="420"/>
      </w:pPr>
    </w:p>
    <w:p w14:paraId="7B4A872E">
      <w:pPr>
        <w:snapToGrid w:val="0"/>
        <w:spacing w:before="19" w:line="540" w:lineRule="exact"/>
        <w:ind w:firstLine="422" w:firstLineChars="200"/>
        <w:rPr>
          <w:rFonts w:ascii="宋体"/>
          <w:b/>
        </w:rPr>
      </w:pPr>
    </w:p>
    <w:p w14:paraId="17D710FB">
      <w:pPr>
        <w:snapToGrid w:val="0"/>
        <w:spacing w:before="19" w:line="540" w:lineRule="exact"/>
        <w:ind w:firstLine="422" w:firstLineChars="200"/>
        <w:rPr>
          <w:rFonts w:ascii="宋体"/>
          <w:b/>
        </w:rPr>
      </w:pPr>
    </w:p>
    <w:p w14:paraId="28573DC4">
      <w:pPr>
        <w:snapToGrid w:val="0"/>
        <w:spacing w:before="19" w:line="540" w:lineRule="exact"/>
        <w:ind w:firstLine="422" w:firstLineChars="200"/>
        <w:rPr>
          <w:rFonts w:ascii="宋体"/>
          <w:b/>
        </w:rPr>
      </w:pPr>
    </w:p>
    <w:p w14:paraId="52812EA3">
      <w:pPr>
        <w:spacing w:line="540" w:lineRule="exact"/>
        <w:jc w:val="center"/>
        <w:rPr>
          <w:rFonts w:ascii="黑体" w:eastAsia="黑体"/>
          <w:b/>
          <w:sz w:val="32"/>
          <w:szCs w:val="32"/>
        </w:rPr>
      </w:pPr>
      <w:r>
        <w:rPr>
          <w:rFonts w:hint="eastAsia" w:ascii="黑体" w:eastAsia="黑体"/>
          <w:b/>
          <w:sz w:val="32"/>
          <w:szCs w:val="32"/>
        </w:rPr>
        <w:t>六、其他表格格式（仅供参考，可按需调整）</w:t>
      </w:r>
    </w:p>
    <w:p w14:paraId="72ADBC2C">
      <w:pPr>
        <w:autoSpaceDE w:val="0"/>
        <w:autoSpaceDN w:val="0"/>
        <w:adjustRightInd w:val="0"/>
        <w:spacing w:line="360" w:lineRule="auto"/>
        <w:jc w:val="center"/>
        <w:rPr>
          <w:rFonts w:ascii="宋体"/>
          <w:b/>
          <w:bCs/>
          <w:sz w:val="24"/>
          <w:szCs w:val="24"/>
        </w:rPr>
      </w:pPr>
      <w:r>
        <w:rPr>
          <w:rFonts w:hint="eastAsia" w:ascii="宋体"/>
          <w:b/>
          <w:bCs/>
          <w:sz w:val="24"/>
          <w:szCs w:val="24"/>
        </w:rPr>
        <w:t>（一）项目负责人简介表</w:t>
      </w:r>
    </w:p>
    <w:tbl>
      <w:tblPr>
        <w:tblStyle w:val="17"/>
        <w:tblW w:w="0" w:type="auto"/>
        <w:jc w:val="center"/>
        <w:tblLayout w:type="fixed"/>
        <w:tblCellMar>
          <w:top w:w="15" w:type="dxa"/>
          <w:left w:w="15" w:type="dxa"/>
          <w:bottom w:w="15" w:type="dxa"/>
          <w:right w:w="15" w:type="dxa"/>
        </w:tblCellMar>
      </w:tblPr>
      <w:tblGrid>
        <w:gridCol w:w="993"/>
        <w:gridCol w:w="993"/>
        <w:gridCol w:w="1275"/>
        <w:gridCol w:w="1276"/>
        <w:gridCol w:w="1456"/>
        <w:gridCol w:w="780"/>
        <w:gridCol w:w="1024"/>
        <w:gridCol w:w="1808"/>
      </w:tblGrid>
      <w:tr w14:paraId="4925164A">
        <w:tblPrEx>
          <w:tblCellMar>
            <w:top w:w="15" w:type="dxa"/>
            <w:left w:w="15" w:type="dxa"/>
            <w:bottom w:w="15" w:type="dxa"/>
            <w:right w:w="15" w:type="dxa"/>
          </w:tblCellMar>
        </w:tblPrEx>
        <w:trPr>
          <w:trHeight w:val="540" w:hRule="atLeast"/>
          <w:jc w:val="center"/>
        </w:trPr>
        <w:tc>
          <w:tcPr>
            <w:tcW w:w="6773" w:type="dxa"/>
            <w:gridSpan w:val="6"/>
            <w:vAlign w:val="center"/>
          </w:tcPr>
          <w:p w14:paraId="0E92C2B4">
            <w:pPr>
              <w:jc w:val="left"/>
              <w:textAlignment w:val="center"/>
              <w:rPr>
                <w:rFonts w:ascii="宋体"/>
              </w:rPr>
            </w:pPr>
            <w:r>
              <w:rPr>
                <w:rFonts w:hint="eastAsia" w:ascii="宋体"/>
              </w:rPr>
              <w:t xml:space="preserve">项目名称：                                     </w:t>
            </w:r>
          </w:p>
        </w:tc>
        <w:tc>
          <w:tcPr>
            <w:tcW w:w="2832" w:type="dxa"/>
            <w:gridSpan w:val="2"/>
            <w:vAlign w:val="center"/>
          </w:tcPr>
          <w:p w14:paraId="058A0283">
            <w:pPr>
              <w:jc w:val="left"/>
              <w:textAlignment w:val="center"/>
              <w:rPr>
                <w:rFonts w:ascii="宋体"/>
              </w:rPr>
            </w:pPr>
          </w:p>
        </w:tc>
      </w:tr>
      <w:tr w14:paraId="10DE0E0F">
        <w:tblPrEx>
          <w:tblCellMar>
            <w:top w:w="15" w:type="dxa"/>
            <w:left w:w="15" w:type="dxa"/>
            <w:bottom w:w="15" w:type="dxa"/>
            <w:right w:w="15" w:type="dxa"/>
          </w:tblCellMar>
        </w:tblPrEx>
        <w:trPr>
          <w:trHeight w:val="54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2245CB3C">
            <w:pPr>
              <w:jc w:val="center"/>
              <w:textAlignment w:val="center"/>
              <w:rPr>
                <w:rFonts w:ascii="宋体"/>
                <w:sz w:val="24"/>
                <w:szCs w:val="24"/>
              </w:rPr>
            </w:pPr>
            <w:r>
              <w:rPr>
                <w:rFonts w:hint="eastAsia" w:ascii="宋体"/>
                <w:sz w:val="24"/>
                <w:szCs w:val="24"/>
              </w:rPr>
              <w:t>姓名</w:t>
            </w:r>
          </w:p>
        </w:tc>
        <w:tc>
          <w:tcPr>
            <w:tcW w:w="993" w:type="dxa"/>
            <w:tcBorders>
              <w:top w:val="single" w:color="000000" w:sz="4" w:space="0"/>
              <w:left w:val="single" w:color="000000" w:sz="4" w:space="0"/>
              <w:bottom w:val="single" w:color="000000" w:sz="4" w:space="0"/>
              <w:right w:val="single" w:color="000000" w:sz="4" w:space="0"/>
            </w:tcBorders>
            <w:vAlign w:val="center"/>
          </w:tcPr>
          <w:p w14:paraId="71EBF302">
            <w:pPr>
              <w:jc w:val="center"/>
              <w:textAlignment w:val="center"/>
              <w:rPr>
                <w:rFonts w:ascii="宋体"/>
                <w:sz w:val="24"/>
                <w:szCs w:val="24"/>
              </w:rPr>
            </w:pPr>
            <w:r>
              <w:rPr>
                <w:rFonts w:hint="eastAsia" w:ascii="宋体"/>
                <w:sz w:val="24"/>
                <w:szCs w:val="24"/>
              </w:rPr>
              <w:t>性别</w:t>
            </w:r>
          </w:p>
        </w:tc>
        <w:tc>
          <w:tcPr>
            <w:tcW w:w="1275" w:type="dxa"/>
            <w:tcBorders>
              <w:top w:val="single" w:color="000000" w:sz="4" w:space="0"/>
              <w:left w:val="single" w:color="000000" w:sz="4" w:space="0"/>
              <w:bottom w:val="single" w:color="000000" w:sz="4" w:space="0"/>
              <w:right w:val="single" w:color="000000" w:sz="4" w:space="0"/>
            </w:tcBorders>
            <w:vAlign w:val="center"/>
          </w:tcPr>
          <w:p w14:paraId="1AB62466">
            <w:pPr>
              <w:jc w:val="center"/>
              <w:textAlignment w:val="center"/>
              <w:rPr>
                <w:rFonts w:ascii="宋体"/>
                <w:sz w:val="24"/>
                <w:szCs w:val="24"/>
              </w:rPr>
            </w:pPr>
            <w:r>
              <w:rPr>
                <w:rFonts w:hint="eastAsia" w:ascii="宋体"/>
                <w:sz w:val="24"/>
                <w:szCs w:val="24"/>
              </w:rPr>
              <w:t>年龄</w:t>
            </w:r>
          </w:p>
        </w:tc>
        <w:tc>
          <w:tcPr>
            <w:tcW w:w="1276" w:type="dxa"/>
            <w:tcBorders>
              <w:top w:val="single" w:color="000000" w:sz="4" w:space="0"/>
              <w:left w:val="single" w:color="000000" w:sz="4" w:space="0"/>
              <w:bottom w:val="single" w:color="000000" w:sz="4" w:space="0"/>
              <w:right w:val="single" w:color="000000" w:sz="4" w:space="0"/>
            </w:tcBorders>
            <w:vAlign w:val="center"/>
          </w:tcPr>
          <w:p w14:paraId="3D0502C3">
            <w:pPr>
              <w:jc w:val="center"/>
              <w:textAlignment w:val="center"/>
              <w:rPr>
                <w:rFonts w:ascii="宋体"/>
                <w:sz w:val="24"/>
                <w:szCs w:val="24"/>
              </w:rPr>
            </w:pPr>
            <w:r>
              <w:rPr>
                <w:rFonts w:hint="eastAsia" w:ascii="宋体"/>
                <w:sz w:val="24"/>
                <w:szCs w:val="24"/>
              </w:rPr>
              <w:t>专业</w:t>
            </w:r>
          </w:p>
        </w:tc>
        <w:tc>
          <w:tcPr>
            <w:tcW w:w="1456" w:type="dxa"/>
            <w:tcBorders>
              <w:top w:val="single" w:color="000000" w:sz="4" w:space="0"/>
              <w:left w:val="single" w:color="000000" w:sz="4" w:space="0"/>
              <w:bottom w:val="single" w:color="000000" w:sz="4" w:space="0"/>
              <w:right w:val="single" w:color="000000" w:sz="4" w:space="0"/>
            </w:tcBorders>
            <w:vAlign w:val="center"/>
          </w:tcPr>
          <w:p w14:paraId="366C8907">
            <w:pPr>
              <w:jc w:val="center"/>
              <w:textAlignment w:val="center"/>
              <w:rPr>
                <w:rFonts w:ascii="宋体"/>
              </w:rPr>
            </w:pPr>
            <w:r>
              <w:rPr>
                <w:rFonts w:hint="eastAsia" w:ascii="宋体"/>
              </w:rPr>
              <w:t>职称</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59C0873D">
            <w:pPr>
              <w:jc w:val="center"/>
              <w:textAlignment w:val="center"/>
              <w:rPr>
                <w:rFonts w:ascii="宋体"/>
              </w:rPr>
            </w:pPr>
            <w:r>
              <w:rPr>
                <w:rFonts w:hint="eastAsia" w:ascii="宋体"/>
              </w:rPr>
              <w:t>工作经验年限</w:t>
            </w:r>
          </w:p>
        </w:tc>
        <w:tc>
          <w:tcPr>
            <w:tcW w:w="1808" w:type="dxa"/>
            <w:tcBorders>
              <w:top w:val="single" w:color="000000" w:sz="4" w:space="0"/>
              <w:left w:val="single" w:color="000000" w:sz="4" w:space="0"/>
              <w:bottom w:val="single" w:color="000000" w:sz="4" w:space="0"/>
              <w:right w:val="single" w:color="000000" w:sz="4" w:space="0"/>
            </w:tcBorders>
            <w:vAlign w:val="center"/>
          </w:tcPr>
          <w:p w14:paraId="1F727781">
            <w:pPr>
              <w:jc w:val="center"/>
              <w:textAlignment w:val="center"/>
              <w:rPr>
                <w:rFonts w:ascii="宋体"/>
              </w:rPr>
            </w:pPr>
            <w:r>
              <w:rPr>
                <w:rFonts w:hint="eastAsia" w:ascii="宋体"/>
              </w:rPr>
              <w:t>备注</w:t>
            </w:r>
          </w:p>
        </w:tc>
      </w:tr>
      <w:tr w14:paraId="736FBF89">
        <w:tblPrEx>
          <w:tblCellMar>
            <w:top w:w="15" w:type="dxa"/>
            <w:left w:w="15" w:type="dxa"/>
            <w:bottom w:w="15" w:type="dxa"/>
            <w:right w:w="15" w:type="dxa"/>
          </w:tblCellMar>
        </w:tblPrEx>
        <w:trPr>
          <w:cantSplit/>
          <w:trHeight w:val="1230"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14:paraId="4A0AB681">
            <w:pPr>
              <w:jc w:val="center"/>
              <w:rPr>
                <w:rFonts w:ascii="宋体"/>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F1E2A59">
            <w:pPr>
              <w:jc w:val="center"/>
              <w:rPr>
                <w:rFonts w:ascii="宋体"/>
                <w:sz w:val="24"/>
                <w:szCs w:val="24"/>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89A04A6">
            <w:pPr>
              <w:jc w:val="center"/>
              <w:rPr>
                <w:rFonts w:ascii="宋体"/>
                <w:sz w:val="24"/>
                <w:szCs w:val="24"/>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37CF1DED">
            <w:pPr>
              <w:jc w:val="center"/>
              <w:rPr>
                <w:rFonts w:ascii="宋体"/>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14:paraId="1571A0CC">
            <w:pPr>
              <w:jc w:val="center"/>
              <w:rPr>
                <w:rFonts w:ascii="宋体"/>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14:paraId="55681B6C">
            <w:pPr>
              <w:jc w:val="center"/>
              <w:rPr>
                <w:rFonts w:ascii="宋体"/>
              </w:rPr>
            </w:pPr>
          </w:p>
        </w:tc>
        <w:tc>
          <w:tcPr>
            <w:tcW w:w="1808" w:type="dxa"/>
            <w:tcBorders>
              <w:top w:val="single" w:color="000000" w:sz="4" w:space="0"/>
              <w:left w:val="single" w:color="000000" w:sz="4" w:space="0"/>
              <w:bottom w:val="single" w:color="000000" w:sz="4" w:space="0"/>
              <w:right w:val="single" w:color="000000" w:sz="4" w:space="0"/>
            </w:tcBorders>
            <w:vAlign w:val="center"/>
          </w:tcPr>
          <w:p w14:paraId="68A48EF6">
            <w:pPr>
              <w:rPr>
                <w:rFonts w:ascii="宋体"/>
              </w:rPr>
            </w:pPr>
          </w:p>
        </w:tc>
      </w:tr>
    </w:tbl>
    <w:p w14:paraId="149222CF">
      <w:pPr>
        <w:adjustRightInd w:val="0"/>
        <w:spacing w:line="420" w:lineRule="auto"/>
        <w:jc w:val="left"/>
        <w:rPr>
          <w:rFonts w:ascii="宋体"/>
          <w:b/>
          <w:bCs/>
        </w:rPr>
      </w:pPr>
      <w:r>
        <w:rPr>
          <w:rFonts w:hint="eastAsia" w:ascii="宋体"/>
        </w:rPr>
        <w:t>供应商名称：</w:t>
      </w:r>
      <w:r>
        <w:rPr>
          <w:rFonts w:hint="eastAsia" w:ascii="宋体"/>
          <w:u w:val="single"/>
        </w:rPr>
        <w:t xml:space="preserve">                                      </w:t>
      </w:r>
      <w:r>
        <w:rPr>
          <w:rFonts w:hint="eastAsia" w:ascii="宋体"/>
        </w:rPr>
        <w:t>（盖章）</w:t>
      </w:r>
    </w:p>
    <w:p w14:paraId="0F88BFED">
      <w:pPr>
        <w:adjustRightInd w:val="0"/>
        <w:spacing w:line="420" w:lineRule="auto"/>
        <w:jc w:val="center"/>
        <w:rPr>
          <w:rFonts w:ascii="宋体"/>
          <w:b/>
          <w:bCs/>
          <w:sz w:val="24"/>
          <w:szCs w:val="24"/>
        </w:rPr>
      </w:pPr>
      <w:r>
        <w:rPr>
          <w:rFonts w:hint="eastAsia" w:ascii="宋体"/>
          <w:b/>
          <w:bCs/>
          <w:sz w:val="24"/>
          <w:szCs w:val="24"/>
        </w:rPr>
        <w:t>（二）技术团队配置表</w:t>
      </w:r>
    </w:p>
    <w:tbl>
      <w:tblPr>
        <w:tblStyle w:val="17"/>
        <w:tblW w:w="0" w:type="auto"/>
        <w:jc w:val="center"/>
        <w:tblLayout w:type="fixed"/>
        <w:tblCellMar>
          <w:top w:w="15" w:type="dxa"/>
          <w:left w:w="15" w:type="dxa"/>
          <w:bottom w:w="15" w:type="dxa"/>
          <w:right w:w="15" w:type="dxa"/>
        </w:tblCellMar>
      </w:tblPr>
      <w:tblGrid>
        <w:gridCol w:w="840"/>
        <w:gridCol w:w="1327"/>
        <w:gridCol w:w="840"/>
        <w:gridCol w:w="855"/>
        <w:gridCol w:w="1725"/>
        <w:gridCol w:w="1544"/>
        <w:gridCol w:w="2093"/>
      </w:tblGrid>
      <w:tr w14:paraId="71D1118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2E1143AE">
            <w:pPr>
              <w:jc w:val="center"/>
              <w:textAlignment w:val="center"/>
              <w:rPr>
                <w:rFonts w:ascii="宋体"/>
              </w:rPr>
            </w:pPr>
            <w:r>
              <w:rPr>
                <w:rFonts w:hint="eastAsia" w:ascii="宋体"/>
              </w:rPr>
              <w:t>序号</w:t>
            </w:r>
          </w:p>
        </w:tc>
        <w:tc>
          <w:tcPr>
            <w:tcW w:w="1327" w:type="dxa"/>
            <w:tcBorders>
              <w:top w:val="single" w:color="000000" w:sz="4" w:space="0"/>
              <w:right w:val="single" w:color="000000" w:sz="4" w:space="0"/>
            </w:tcBorders>
            <w:vAlign w:val="center"/>
          </w:tcPr>
          <w:p w14:paraId="469F060C">
            <w:pPr>
              <w:jc w:val="center"/>
              <w:textAlignment w:val="center"/>
              <w:rPr>
                <w:rFonts w:ascii="宋体"/>
              </w:rPr>
            </w:pPr>
            <w:r>
              <w:rPr>
                <w:rFonts w:hint="eastAsia" w:ascii="宋体"/>
              </w:rPr>
              <w:t>姓名</w:t>
            </w:r>
          </w:p>
        </w:tc>
        <w:tc>
          <w:tcPr>
            <w:tcW w:w="840" w:type="dxa"/>
            <w:tcBorders>
              <w:top w:val="single" w:color="000000" w:sz="4" w:space="0"/>
              <w:left w:val="single" w:color="000000" w:sz="4" w:space="0"/>
              <w:right w:val="single" w:color="000000" w:sz="4" w:space="0"/>
            </w:tcBorders>
            <w:vAlign w:val="center"/>
          </w:tcPr>
          <w:p w14:paraId="250735F6">
            <w:pPr>
              <w:jc w:val="center"/>
              <w:textAlignment w:val="center"/>
              <w:rPr>
                <w:rFonts w:ascii="宋体"/>
              </w:rPr>
            </w:pPr>
            <w:r>
              <w:rPr>
                <w:rFonts w:hint="eastAsia" w:ascii="宋体"/>
              </w:rPr>
              <w:t>性别</w:t>
            </w:r>
          </w:p>
        </w:tc>
        <w:tc>
          <w:tcPr>
            <w:tcW w:w="855" w:type="dxa"/>
            <w:tcBorders>
              <w:top w:val="single" w:color="000000" w:sz="4" w:space="0"/>
              <w:left w:val="single" w:color="000000" w:sz="4" w:space="0"/>
              <w:right w:val="single" w:color="000000" w:sz="4" w:space="0"/>
            </w:tcBorders>
            <w:vAlign w:val="center"/>
          </w:tcPr>
          <w:p w14:paraId="3CC5E58D">
            <w:pPr>
              <w:jc w:val="center"/>
              <w:textAlignment w:val="center"/>
              <w:rPr>
                <w:rFonts w:ascii="宋体"/>
              </w:rPr>
            </w:pPr>
            <w:r>
              <w:rPr>
                <w:rFonts w:hint="eastAsia" w:ascii="宋体"/>
              </w:rPr>
              <w:t>年龄</w:t>
            </w:r>
          </w:p>
        </w:tc>
        <w:tc>
          <w:tcPr>
            <w:tcW w:w="1725" w:type="dxa"/>
            <w:tcBorders>
              <w:top w:val="single" w:color="000000" w:sz="4" w:space="0"/>
              <w:left w:val="single" w:color="000000" w:sz="4" w:space="0"/>
              <w:bottom w:val="single" w:color="000000" w:sz="4" w:space="0"/>
              <w:right w:val="single" w:color="000000" w:sz="4" w:space="0"/>
            </w:tcBorders>
            <w:vAlign w:val="center"/>
          </w:tcPr>
          <w:p w14:paraId="2617C05D">
            <w:pPr>
              <w:jc w:val="center"/>
              <w:textAlignment w:val="center"/>
              <w:rPr>
                <w:rFonts w:ascii="宋体"/>
              </w:rPr>
            </w:pPr>
            <w:r>
              <w:rPr>
                <w:rFonts w:hint="eastAsia" w:ascii="宋体"/>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14:paraId="350D1FEC">
            <w:pPr>
              <w:jc w:val="center"/>
              <w:textAlignment w:val="center"/>
              <w:rPr>
                <w:rFonts w:ascii="宋体"/>
              </w:rPr>
            </w:pPr>
            <w:r>
              <w:rPr>
                <w:rFonts w:hint="eastAsia" w:ascii="宋体"/>
              </w:rPr>
              <w:t>职称</w:t>
            </w:r>
          </w:p>
        </w:tc>
        <w:tc>
          <w:tcPr>
            <w:tcW w:w="2093" w:type="dxa"/>
            <w:tcBorders>
              <w:top w:val="single" w:color="000000" w:sz="4" w:space="0"/>
              <w:left w:val="single" w:color="000000" w:sz="4" w:space="0"/>
              <w:bottom w:val="single" w:color="000000" w:sz="4" w:space="0"/>
              <w:right w:val="single" w:color="000000" w:sz="4" w:space="0"/>
            </w:tcBorders>
            <w:vAlign w:val="center"/>
          </w:tcPr>
          <w:p w14:paraId="7E32750D">
            <w:pPr>
              <w:jc w:val="center"/>
              <w:textAlignment w:val="center"/>
              <w:rPr>
                <w:rFonts w:ascii="宋体"/>
              </w:rPr>
            </w:pPr>
            <w:r>
              <w:rPr>
                <w:rFonts w:hint="eastAsia" w:ascii="宋体"/>
              </w:rPr>
              <w:t>工作经验年限</w:t>
            </w:r>
          </w:p>
        </w:tc>
      </w:tr>
      <w:tr w14:paraId="20F533F5">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ABE1F35">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4EE459CB">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F2E5C4A">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5537D6B3">
            <w:pPr>
              <w:rPr>
                <w:rFonts w:ascii="宋体"/>
              </w:rPr>
            </w:pPr>
          </w:p>
        </w:tc>
        <w:tc>
          <w:tcPr>
            <w:tcW w:w="1725" w:type="dxa"/>
            <w:tcBorders>
              <w:top w:val="single" w:color="000000" w:sz="4" w:space="0"/>
              <w:bottom w:val="single" w:color="000000" w:sz="4" w:space="0"/>
              <w:right w:val="single" w:color="000000" w:sz="4" w:space="0"/>
            </w:tcBorders>
            <w:vAlign w:val="center"/>
          </w:tcPr>
          <w:p w14:paraId="1F8DB7D5">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0AB098F0">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2E7964BB">
            <w:pPr>
              <w:rPr>
                <w:rFonts w:ascii="宋体"/>
              </w:rPr>
            </w:pPr>
          </w:p>
        </w:tc>
      </w:tr>
      <w:tr w14:paraId="0A459A5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ED062E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5F447019">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FDF6925">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D481AF6">
            <w:pPr>
              <w:rPr>
                <w:rFonts w:ascii="宋体"/>
              </w:rPr>
            </w:pPr>
          </w:p>
        </w:tc>
        <w:tc>
          <w:tcPr>
            <w:tcW w:w="1725" w:type="dxa"/>
            <w:tcBorders>
              <w:top w:val="single" w:color="000000" w:sz="4" w:space="0"/>
              <w:bottom w:val="single" w:color="000000" w:sz="4" w:space="0"/>
              <w:right w:val="single" w:color="000000" w:sz="4" w:space="0"/>
            </w:tcBorders>
            <w:vAlign w:val="center"/>
          </w:tcPr>
          <w:p w14:paraId="0611FD4B">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5BCDF49">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1FE8FEF4">
            <w:pPr>
              <w:rPr>
                <w:rFonts w:ascii="宋体"/>
              </w:rPr>
            </w:pPr>
          </w:p>
        </w:tc>
      </w:tr>
      <w:tr w14:paraId="7F2C9091">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528D74F7">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7197366F">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14034E0">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43425A0F">
            <w:pPr>
              <w:rPr>
                <w:rFonts w:ascii="宋体"/>
              </w:rPr>
            </w:pPr>
          </w:p>
        </w:tc>
        <w:tc>
          <w:tcPr>
            <w:tcW w:w="1725" w:type="dxa"/>
            <w:tcBorders>
              <w:top w:val="single" w:color="000000" w:sz="4" w:space="0"/>
              <w:bottom w:val="single" w:color="000000" w:sz="4" w:space="0"/>
              <w:right w:val="single" w:color="000000" w:sz="4" w:space="0"/>
            </w:tcBorders>
            <w:vAlign w:val="center"/>
          </w:tcPr>
          <w:p w14:paraId="26E2C43A">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4FB27F4C">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491D885">
            <w:pPr>
              <w:rPr>
                <w:rFonts w:ascii="宋体"/>
              </w:rPr>
            </w:pPr>
          </w:p>
        </w:tc>
      </w:tr>
      <w:tr w14:paraId="06BB2A3B">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4B9D18D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4ABBD806">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D622C48">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17D1781">
            <w:pPr>
              <w:rPr>
                <w:rFonts w:ascii="宋体"/>
              </w:rPr>
            </w:pPr>
          </w:p>
        </w:tc>
        <w:tc>
          <w:tcPr>
            <w:tcW w:w="1725" w:type="dxa"/>
            <w:tcBorders>
              <w:top w:val="single" w:color="000000" w:sz="4" w:space="0"/>
              <w:bottom w:val="single" w:color="000000" w:sz="4" w:space="0"/>
              <w:right w:val="single" w:color="000000" w:sz="4" w:space="0"/>
            </w:tcBorders>
            <w:vAlign w:val="center"/>
          </w:tcPr>
          <w:p w14:paraId="23C43D9C">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7A8EFCC">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0B1665D4">
            <w:pPr>
              <w:rPr>
                <w:rFonts w:ascii="宋体"/>
              </w:rPr>
            </w:pPr>
          </w:p>
        </w:tc>
      </w:tr>
      <w:tr w14:paraId="0F5488FD">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1520AE7F">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58409316">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2B8F4691">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3FF033">
            <w:pPr>
              <w:rPr>
                <w:rFonts w:ascii="宋体"/>
              </w:rPr>
            </w:pPr>
          </w:p>
        </w:tc>
        <w:tc>
          <w:tcPr>
            <w:tcW w:w="1725" w:type="dxa"/>
            <w:tcBorders>
              <w:top w:val="single" w:color="000000" w:sz="4" w:space="0"/>
              <w:bottom w:val="single" w:color="000000" w:sz="4" w:space="0"/>
              <w:right w:val="single" w:color="000000" w:sz="4" w:space="0"/>
            </w:tcBorders>
            <w:vAlign w:val="center"/>
          </w:tcPr>
          <w:p w14:paraId="55705E0B">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2851D62">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4DB93812">
            <w:pPr>
              <w:rPr>
                <w:rFonts w:ascii="宋体"/>
              </w:rPr>
            </w:pPr>
          </w:p>
        </w:tc>
      </w:tr>
      <w:tr w14:paraId="18FF32C8">
        <w:tblPrEx>
          <w:tblCellMar>
            <w:top w:w="15" w:type="dxa"/>
            <w:left w:w="15" w:type="dxa"/>
            <w:bottom w:w="15" w:type="dxa"/>
            <w:right w:w="15" w:type="dxa"/>
          </w:tblCellMar>
        </w:tblPrEx>
        <w:trPr>
          <w:trHeight w:val="5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14:paraId="0C8DA856">
            <w:pPr>
              <w:jc w:val="center"/>
              <w:textAlignment w:val="center"/>
              <w:rPr>
                <w:rFonts w:ascii="宋体"/>
              </w:rPr>
            </w:pPr>
          </w:p>
        </w:tc>
        <w:tc>
          <w:tcPr>
            <w:tcW w:w="1327" w:type="dxa"/>
            <w:tcBorders>
              <w:top w:val="single" w:color="000000" w:sz="4" w:space="0"/>
              <w:bottom w:val="single" w:color="000000" w:sz="4" w:space="0"/>
              <w:right w:val="single" w:color="000000" w:sz="4" w:space="0"/>
            </w:tcBorders>
            <w:vAlign w:val="center"/>
          </w:tcPr>
          <w:p w14:paraId="750535F0">
            <w:pPr>
              <w:rPr>
                <w:rFonts w:ascii="宋体"/>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FF27607">
            <w:pPr>
              <w:rPr>
                <w:rFonts w:ascii="宋体"/>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5C5850A">
            <w:pPr>
              <w:rPr>
                <w:rFonts w:ascii="宋体"/>
              </w:rPr>
            </w:pPr>
          </w:p>
        </w:tc>
        <w:tc>
          <w:tcPr>
            <w:tcW w:w="1725" w:type="dxa"/>
            <w:tcBorders>
              <w:top w:val="single" w:color="000000" w:sz="4" w:space="0"/>
              <w:bottom w:val="single" w:color="000000" w:sz="4" w:space="0"/>
              <w:right w:val="single" w:color="000000" w:sz="4" w:space="0"/>
            </w:tcBorders>
            <w:vAlign w:val="center"/>
          </w:tcPr>
          <w:p w14:paraId="05BB9DFC">
            <w:pPr>
              <w:rPr>
                <w:rFonts w:ascii="宋体"/>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56DA4C55">
            <w:pPr>
              <w:rPr>
                <w:rFonts w:ascii="宋体"/>
              </w:rPr>
            </w:pPr>
          </w:p>
        </w:tc>
        <w:tc>
          <w:tcPr>
            <w:tcW w:w="2093" w:type="dxa"/>
            <w:tcBorders>
              <w:top w:val="single" w:color="000000" w:sz="4" w:space="0"/>
              <w:left w:val="single" w:color="000000" w:sz="4" w:space="0"/>
              <w:bottom w:val="single" w:color="000000" w:sz="4" w:space="0"/>
              <w:right w:val="single" w:color="000000" w:sz="4" w:space="0"/>
            </w:tcBorders>
            <w:vAlign w:val="center"/>
          </w:tcPr>
          <w:p w14:paraId="720AA977">
            <w:pPr>
              <w:rPr>
                <w:rFonts w:ascii="宋体"/>
              </w:rPr>
            </w:pPr>
          </w:p>
        </w:tc>
      </w:tr>
    </w:tbl>
    <w:p w14:paraId="588F16CB">
      <w:pPr>
        <w:adjustRightInd w:val="0"/>
        <w:spacing w:line="420" w:lineRule="auto"/>
        <w:jc w:val="left"/>
        <w:rPr>
          <w:rFonts w:ascii="宋体"/>
        </w:rPr>
      </w:pPr>
      <w:r>
        <w:rPr>
          <w:rFonts w:hint="eastAsia" w:ascii="宋体"/>
        </w:rPr>
        <w:t>说明：如果行数不够，请自行增加。</w:t>
      </w:r>
    </w:p>
    <w:p w14:paraId="126A2893">
      <w:pPr>
        <w:adjustRightInd w:val="0"/>
        <w:spacing w:line="420" w:lineRule="auto"/>
        <w:jc w:val="left"/>
        <w:rPr>
          <w:rFonts w:ascii="宋体"/>
          <w:b/>
        </w:rPr>
      </w:pPr>
      <w:r>
        <w:rPr>
          <w:rFonts w:hint="eastAsia" w:ascii="宋体"/>
        </w:rPr>
        <w:t>供应商名称：</w:t>
      </w:r>
      <w:r>
        <w:rPr>
          <w:rFonts w:hint="eastAsia" w:ascii="宋体"/>
          <w:u w:val="single"/>
        </w:rPr>
        <w:t xml:space="preserve">                                      </w:t>
      </w:r>
      <w:r>
        <w:rPr>
          <w:rFonts w:hint="eastAsia" w:ascii="宋体"/>
        </w:rPr>
        <w:t>（盖章）</w:t>
      </w:r>
    </w:p>
    <w:p w14:paraId="2D77852D">
      <w:pPr>
        <w:spacing w:line="360" w:lineRule="auto"/>
        <w:rPr>
          <w:rFonts w:ascii="宋体"/>
          <w:b/>
          <w:sz w:val="24"/>
          <w:szCs w:val="24"/>
        </w:rPr>
      </w:pPr>
      <w:r>
        <w:rPr>
          <w:rFonts w:hint="eastAsia" w:ascii="宋体"/>
          <w:b/>
          <w:sz w:val="24"/>
          <w:szCs w:val="24"/>
        </w:rPr>
        <w:t xml:space="preserve">   （三）竞争性磋商通知书要求及供应商认为需要提供的其他证明文件及材料等（如服务内容的详细说明、项目实施方案和服务承诺等）（格式自拟）。</w:t>
      </w:r>
    </w:p>
    <w:p w14:paraId="02D90806">
      <w:pPr>
        <w:spacing w:before="259" w:line="204" w:lineRule="auto"/>
        <w:ind w:firstLine="361" w:firstLineChars="150"/>
        <w:rPr>
          <w:rFonts w:ascii="宋体"/>
          <w:b/>
          <w:sz w:val="24"/>
          <w:szCs w:val="24"/>
        </w:rPr>
      </w:pPr>
      <w:r>
        <w:rPr>
          <w:rFonts w:hint="eastAsia" w:ascii="宋体"/>
          <w:b/>
          <w:sz w:val="24"/>
          <w:szCs w:val="24"/>
        </w:rPr>
        <w:t>（四）信用承诺书格式</w:t>
      </w:r>
    </w:p>
    <w:p w14:paraId="4CECE901">
      <w:pPr>
        <w:spacing w:before="259" w:line="204" w:lineRule="auto"/>
        <w:ind w:firstLine="361" w:firstLineChars="150"/>
        <w:rPr>
          <w:rFonts w:ascii="宋体"/>
          <w:b/>
          <w:sz w:val="24"/>
          <w:szCs w:val="24"/>
        </w:rPr>
      </w:pPr>
    </w:p>
    <w:p w14:paraId="7D5EEE04">
      <w:pPr>
        <w:spacing w:before="259" w:line="204" w:lineRule="auto"/>
        <w:ind w:firstLine="361" w:firstLineChars="150"/>
        <w:rPr>
          <w:rFonts w:ascii="宋体"/>
          <w:b/>
          <w:sz w:val="24"/>
          <w:szCs w:val="24"/>
        </w:rPr>
      </w:pPr>
    </w:p>
    <w:p w14:paraId="5488B6D6">
      <w:pPr>
        <w:spacing w:before="259" w:line="204" w:lineRule="auto"/>
        <w:ind w:firstLine="361" w:firstLineChars="150"/>
        <w:rPr>
          <w:rFonts w:ascii="宋体"/>
          <w:b/>
          <w:sz w:val="24"/>
          <w:szCs w:val="24"/>
        </w:rPr>
      </w:pPr>
    </w:p>
    <w:p w14:paraId="7ABA1753">
      <w:pPr>
        <w:spacing w:before="259" w:line="204" w:lineRule="auto"/>
        <w:ind w:firstLine="361" w:firstLineChars="150"/>
        <w:rPr>
          <w:rFonts w:ascii="宋体"/>
          <w:b/>
          <w:sz w:val="24"/>
          <w:szCs w:val="24"/>
        </w:rPr>
      </w:pPr>
    </w:p>
    <w:p w14:paraId="1C0B5FF5">
      <w:pPr>
        <w:spacing w:before="259" w:line="204" w:lineRule="auto"/>
        <w:ind w:firstLine="783"/>
        <w:rPr>
          <w:rFonts w:ascii="Arial" w:hAnsi="Arial"/>
        </w:rPr>
      </w:pPr>
      <w:r>
        <w:rPr>
          <w:rFonts w:ascii="黑体" w:eastAsia="黑体" w:cs="黑体"/>
          <w:spacing w:val="-3"/>
          <w:sz w:val="32"/>
          <w:szCs w:val="32"/>
        </w:rPr>
        <w:t>南京市政府采购供应商信用记录表</w:t>
      </w:r>
      <w:r>
        <w:rPr>
          <w:rFonts w:hint="eastAsia" w:ascii="黑体" w:eastAsia="黑体" w:cs="黑体"/>
          <w:spacing w:val="-3"/>
          <w:sz w:val="32"/>
          <w:szCs w:val="32"/>
          <w:lang w:eastAsia="zh-CN"/>
        </w:rPr>
        <w:t>及</w:t>
      </w:r>
      <w:r>
        <w:rPr>
          <w:rFonts w:ascii="黑体" w:eastAsia="黑体" w:cs="黑体"/>
          <w:spacing w:val="-3"/>
          <w:sz w:val="32"/>
          <w:szCs w:val="32"/>
        </w:rPr>
        <w:t>信用承诺书</w:t>
      </w:r>
    </w:p>
    <w:p w14:paraId="7C8B95C9">
      <w:pPr>
        <w:spacing w:before="78" w:line="204" w:lineRule="auto"/>
        <w:jc w:val="right"/>
        <w:rPr>
          <w:rFonts w:ascii="宋体"/>
          <w:b/>
          <w:bCs/>
          <w:sz w:val="28"/>
          <w:szCs w:val="28"/>
        </w:rPr>
      </w:pPr>
      <w:r>
        <w:rPr>
          <w:rFonts w:hint="eastAsia" w:ascii="楷体" w:eastAsia="楷体" w:cs="楷体"/>
          <w:spacing w:val="-11"/>
          <w:sz w:val="28"/>
          <w:szCs w:val="28"/>
        </w:rPr>
        <w:t>20</w:t>
      </w:r>
      <w:r>
        <w:rPr>
          <w:rFonts w:hint="eastAsia" w:ascii="楷体" w:eastAsia="楷体" w:cs="楷体"/>
          <w:spacing w:val="19"/>
          <w:sz w:val="28"/>
          <w:szCs w:val="28"/>
        </w:rPr>
        <w:t xml:space="preserve">  </w:t>
      </w:r>
      <w:r>
        <w:rPr>
          <w:rFonts w:hint="eastAsia" w:ascii="楷体" w:eastAsia="楷体" w:cs="楷体"/>
          <w:spacing w:val="-11"/>
          <w:sz w:val="28"/>
          <w:szCs w:val="28"/>
        </w:rPr>
        <w:t>年</w:t>
      </w:r>
      <w:r>
        <w:rPr>
          <w:rFonts w:hint="eastAsia" w:ascii="楷体" w:eastAsia="楷体" w:cs="楷体"/>
          <w:spacing w:val="44"/>
          <w:sz w:val="28"/>
          <w:szCs w:val="28"/>
        </w:rPr>
        <w:t xml:space="preserve">  </w:t>
      </w:r>
      <w:r>
        <w:rPr>
          <w:rFonts w:hint="eastAsia" w:ascii="楷体" w:eastAsia="楷体" w:cs="楷体"/>
          <w:spacing w:val="-11"/>
          <w:sz w:val="28"/>
          <w:szCs w:val="28"/>
        </w:rPr>
        <w:t>月</w:t>
      </w:r>
      <w:r>
        <w:rPr>
          <w:rFonts w:hint="eastAsia" w:ascii="楷体" w:eastAsia="楷体" w:cs="楷体"/>
          <w:spacing w:val="4"/>
          <w:sz w:val="28"/>
          <w:szCs w:val="28"/>
        </w:rPr>
        <w:t xml:space="preserve">   </w:t>
      </w:r>
      <w:r>
        <w:rPr>
          <w:rFonts w:hint="eastAsia" w:ascii="楷体" w:eastAsia="楷体" w:cs="楷体"/>
          <w:spacing w:val="-11"/>
          <w:sz w:val="28"/>
          <w:szCs w:val="28"/>
        </w:rPr>
        <w:t>日</w:t>
      </w:r>
    </w:p>
    <w:tbl>
      <w:tblPr>
        <w:tblStyle w:val="17"/>
        <w:tblW w:w="967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16"/>
        <w:gridCol w:w="1850"/>
        <w:gridCol w:w="2446"/>
        <w:gridCol w:w="2866"/>
      </w:tblGrid>
      <w:tr w14:paraId="20A9BD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24B87FBC">
            <w:pPr>
              <w:spacing w:before="140" w:line="204" w:lineRule="auto"/>
              <w:ind w:firstLine="110"/>
              <w:jc w:val="left"/>
              <w:rPr>
                <w:rFonts w:ascii="宋体" w:cs="楷体"/>
              </w:rPr>
            </w:pPr>
            <w:r>
              <w:rPr>
                <w:rFonts w:hint="eastAsia" w:ascii="宋体" w:cs="楷体"/>
                <w:spacing w:val="-3"/>
              </w:rPr>
              <w:t>单位名称</w:t>
            </w:r>
          </w:p>
        </w:tc>
        <w:tc>
          <w:tcPr>
            <w:tcW w:w="1850" w:type="dxa"/>
            <w:vAlign w:val="center"/>
          </w:tcPr>
          <w:p w14:paraId="1EBE7210">
            <w:pPr>
              <w:jc w:val="center"/>
              <w:rPr>
                <w:rFonts w:ascii="宋体" w:cs="楷体"/>
              </w:rPr>
            </w:pPr>
          </w:p>
        </w:tc>
        <w:tc>
          <w:tcPr>
            <w:tcW w:w="2446" w:type="dxa"/>
            <w:vAlign w:val="center"/>
          </w:tcPr>
          <w:p w14:paraId="427E2295">
            <w:pPr>
              <w:spacing w:before="140" w:line="204" w:lineRule="auto"/>
              <w:ind w:firstLine="124"/>
              <w:jc w:val="left"/>
              <w:rPr>
                <w:rFonts w:ascii="宋体" w:cs="楷体"/>
              </w:rPr>
            </w:pPr>
            <w:r>
              <w:rPr>
                <w:rFonts w:hint="eastAsia" w:ascii="宋体" w:cs="楷体"/>
                <w:spacing w:val="-2"/>
              </w:rPr>
              <w:t>统一社会信用代码</w:t>
            </w:r>
          </w:p>
        </w:tc>
        <w:tc>
          <w:tcPr>
            <w:tcW w:w="2866" w:type="dxa"/>
            <w:vAlign w:val="center"/>
          </w:tcPr>
          <w:p w14:paraId="025C0548">
            <w:pPr>
              <w:jc w:val="center"/>
              <w:rPr>
                <w:rFonts w:ascii="宋体" w:cs="楷体"/>
              </w:rPr>
            </w:pPr>
          </w:p>
        </w:tc>
      </w:tr>
      <w:tr w14:paraId="0D214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57F2DD5D">
            <w:pPr>
              <w:spacing w:before="90" w:line="204" w:lineRule="auto"/>
              <w:ind w:firstLine="109"/>
              <w:jc w:val="left"/>
              <w:rPr>
                <w:rFonts w:ascii="宋体" w:cs="楷体"/>
              </w:rPr>
            </w:pPr>
            <w:r>
              <w:rPr>
                <w:rFonts w:hint="eastAsia" w:ascii="宋体" w:cs="楷体"/>
                <w:spacing w:val="-2"/>
              </w:rPr>
              <w:t>法定代表人</w:t>
            </w:r>
          </w:p>
        </w:tc>
        <w:tc>
          <w:tcPr>
            <w:tcW w:w="1850" w:type="dxa"/>
            <w:vAlign w:val="center"/>
          </w:tcPr>
          <w:p w14:paraId="4C9137A3">
            <w:pPr>
              <w:jc w:val="center"/>
              <w:rPr>
                <w:rFonts w:ascii="宋体" w:cs="楷体"/>
              </w:rPr>
            </w:pPr>
          </w:p>
        </w:tc>
        <w:tc>
          <w:tcPr>
            <w:tcW w:w="2446" w:type="dxa"/>
            <w:vAlign w:val="center"/>
          </w:tcPr>
          <w:p w14:paraId="3787A4CC">
            <w:pPr>
              <w:spacing w:before="90" w:line="204" w:lineRule="auto"/>
              <w:ind w:firstLine="119"/>
              <w:jc w:val="left"/>
              <w:rPr>
                <w:rFonts w:ascii="宋体" w:cs="楷体"/>
              </w:rPr>
            </w:pPr>
            <w:r>
              <w:rPr>
                <w:rFonts w:hint="eastAsia" w:ascii="宋体" w:cs="楷体"/>
                <w:spacing w:val="-3"/>
              </w:rPr>
              <w:t>联系人</w:t>
            </w:r>
          </w:p>
        </w:tc>
        <w:tc>
          <w:tcPr>
            <w:tcW w:w="2866" w:type="dxa"/>
            <w:vAlign w:val="center"/>
          </w:tcPr>
          <w:p w14:paraId="2B62D7A5">
            <w:pPr>
              <w:jc w:val="center"/>
              <w:rPr>
                <w:rFonts w:ascii="宋体" w:cs="楷体"/>
              </w:rPr>
            </w:pPr>
          </w:p>
        </w:tc>
      </w:tr>
      <w:tr w14:paraId="53CE31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61DD9C4D">
            <w:pPr>
              <w:spacing w:before="90" w:line="204" w:lineRule="auto"/>
              <w:ind w:firstLine="109"/>
              <w:jc w:val="left"/>
              <w:rPr>
                <w:rFonts w:ascii="宋体" w:cs="楷体"/>
              </w:rPr>
            </w:pPr>
            <w:r>
              <w:rPr>
                <w:rFonts w:hint="eastAsia" w:ascii="宋体" w:cs="楷体"/>
                <w:spacing w:val="-2"/>
              </w:rPr>
              <w:t>联系地址</w:t>
            </w:r>
          </w:p>
        </w:tc>
        <w:tc>
          <w:tcPr>
            <w:tcW w:w="1850" w:type="dxa"/>
            <w:vAlign w:val="center"/>
          </w:tcPr>
          <w:p w14:paraId="1E0412D7">
            <w:pPr>
              <w:jc w:val="center"/>
              <w:rPr>
                <w:rFonts w:ascii="宋体" w:cs="楷体"/>
              </w:rPr>
            </w:pPr>
          </w:p>
        </w:tc>
        <w:tc>
          <w:tcPr>
            <w:tcW w:w="2446" w:type="dxa"/>
            <w:vAlign w:val="center"/>
          </w:tcPr>
          <w:p w14:paraId="689E66B8">
            <w:pPr>
              <w:spacing w:before="90" w:line="204" w:lineRule="auto"/>
              <w:ind w:firstLine="119"/>
              <w:jc w:val="left"/>
              <w:rPr>
                <w:rFonts w:ascii="宋体" w:cs="楷体"/>
              </w:rPr>
            </w:pPr>
            <w:r>
              <w:rPr>
                <w:rFonts w:hint="eastAsia" w:ascii="宋体" w:cs="楷体"/>
                <w:spacing w:val="-2"/>
              </w:rPr>
              <w:t>联系电话</w:t>
            </w:r>
          </w:p>
        </w:tc>
        <w:tc>
          <w:tcPr>
            <w:tcW w:w="2866" w:type="dxa"/>
            <w:vAlign w:val="center"/>
          </w:tcPr>
          <w:p w14:paraId="09F91C23">
            <w:pPr>
              <w:jc w:val="center"/>
              <w:rPr>
                <w:rFonts w:ascii="宋体" w:cs="楷体"/>
              </w:rPr>
            </w:pPr>
          </w:p>
        </w:tc>
      </w:tr>
      <w:tr w14:paraId="356F7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jc w:val="center"/>
        </w:trPr>
        <w:tc>
          <w:tcPr>
            <w:tcW w:w="2516" w:type="dxa"/>
            <w:vAlign w:val="center"/>
          </w:tcPr>
          <w:p w14:paraId="5686B83A">
            <w:pPr>
              <w:spacing w:before="80" w:line="204" w:lineRule="auto"/>
              <w:ind w:firstLine="109"/>
              <w:jc w:val="left"/>
              <w:rPr>
                <w:rFonts w:ascii="宋体" w:cs="楷体"/>
              </w:rPr>
            </w:pPr>
            <w:r>
              <w:rPr>
                <w:rFonts w:hint="eastAsia" w:ascii="宋体" w:cs="楷体"/>
                <w:spacing w:val="-2"/>
              </w:rPr>
              <w:t>信用得分</w:t>
            </w:r>
          </w:p>
        </w:tc>
        <w:tc>
          <w:tcPr>
            <w:tcW w:w="1850" w:type="dxa"/>
            <w:vAlign w:val="center"/>
          </w:tcPr>
          <w:p w14:paraId="46969840">
            <w:pPr>
              <w:jc w:val="center"/>
              <w:rPr>
                <w:rFonts w:ascii="宋体" w:cs="楷体"/>
              </w:rPr>
            </w:pPr>
          </w:p>
        </w:tc>
        <w:tc>
          <w:tcPr>
            <w:tcW w:w="2446" w:type="dxa"/>
            <w:vAlign w:val="center"/>
          </w:tcPr>
          <w:p w14:paraId="7682DF56">
            <w:pPr>
              <w:spacing w:before="80" w:line="204" w:lineRule="auto"/>
              <w:ind w:firstLine="121"/>
              <w:jc w:val="left"/>
              <w:rPr>
                <w:rFonts w:ascii="宋体" w:cs="楷体"/>
              </w:rPr>
            </w:pPr>
            <w:r>
              <w:rPr>
                <w:rFonts w:hint="eastAsia" w:ascii="宋体" w:cs="楷体"/>
                <w:spacing w:val="-3"/>
              </w:rPr>
              <w:t>星级</w:t>
            </w:r>
          </w:p>
        </w:tc>
        <w:tc>
          <w:tcPr>
            <w:tcW w:w="2866" w:type="dxa"/>
            <w:vAlign w:val="center"/>
          </w:tcPr>
          <w:p w14:paraId="5C0319C0">
            <w:pPr>
              <w:jc w:val="center"/>
              <w:rPr>
                <w:rFonts w:ascii="宋体" w:cs="楷体"/>
              </w:rPr>
            </w:pPr>
          </w:p>
        </w:tc>
      </w:tr>
      <w:tr w14:paraId="026DE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jc w:val="center"/>
        </w:trPr>
        <w:tc>
          <w:tcPr>
            <w:tcW w:w="2516" w:type="dxa"/>
            <w:vAlign w:val="center"/>
          </w:tcPr>
          <w:p w14:paraId="6A9AD88D">
            <w:pPr>
              <w:spacing w:before="257" w:line="204" w:lineRule="auto"/>
              <w:jc w:val="center"/>
              <w:rPr>
                <w:rFonts w:ascii="宋体" w:cs="楷体"/>
              </w:rPr>
            </w:pPr>
            <w:r>
              <w:rPr>
                <w:rFonts w:hint="eastAsia" w:ascii="宋体" w:cs="楷体"/>
                <w:spacing w:val="-1"/>
              </w:rPr>
              <w:t>诚信档案记录情况</w:t>
            </w:r>
          </w:p>
        </w:tc>
        <w:tc>
          <w:tcPr>
            <w:tcW w:w="7162" w:type="dxa"/>
            <w:gridSpan w:val="3"/>
          </w:tcPr>
          <w:p w14:paraId="2BC1B3A0">
            <w:pPr>
              <w:rPr>
                <w:rFonts w:ascii="宋体" w:cs="楷体"/>
              </w:rPr>
            </w:pPr>
          </w:p>
        </w:tc>
      </w:tr>
      <w:tr w14:paraId="437DC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4" w:hRule="atLeast"/>
          <w:jc w:val="center"/>
        </w:trPr>
        <w:tc>
          <w:tcPr>
            <w:tcW w:w="2516" w:type="dxa"/>
            <w:vMerge w:val="restart"/>
            <w:vAlign w:val="center"/>
          </w:tcPr>
          <w:p w14:paraId="15E0F72B">
            <w:pPr>
              <w:spacing w:before="243" w:line="204" w:lineRule="auto"/>
              <w:jc w:val="center"/>
              <w:rPr>
                <w:rFonts w:ascii="宋体" w:cs="楷体"/>
              </w:rPr>
            </w:pPr>
            <w:r>
              <w:rPr>
                <w:rFonts w:hint="eastAsia" w:ascii="宋体" w:cs="楷体"/>
                <w:spacing w:val="-2"/>
              </w:rPr>
              <w:t>信用承诺</w:t>
            </w:r>
          </w:p>
        </w:tc>
        <w:tc>
          <w:tcPr>
            <w:tcW w:w="7162" w:type="dxa"/>
            <w:gridSpan w:val="3"/>
            <w:tcBorders>
              <w:bottom w:val="nil"/>
            </w:tcBorders>
          </w:tcPr>
          <w:p w14:paraId="100549BC">
            <w:pPr>
              <w:spacing w:before="59" w:line="250" w:lineRule="auto"/>
              <w:ind w:left="108" w:firstLine="475"/>
              <w:jc w:val="left"/>
              <w:rPr>
                <w:rFonts w:ascii="宋体" w:cs="楷体"/>
                <w:spacing w:val="4"/>
              </w:rPr>
            </w:pPr>
            <w:r>
              <w:rPr>
                <w:rFonts w:hint="eastAsia" w:ascii="宋体" w:cs="楷体"/>
                <w:spacing w:val="4"/>
              </w:rPr>
              <w:t>我公司自愿参加贵单位组织的本次采购活动，严格遵守《中华人民共和国政府采购法》及相关法律法规，坚守公开、公平、公正和诚实信用的原则，依法诚信经营，无条件遵守本次</w:t>
            </w:r>
            <w:r>
              <w:rPr>
                <w:rFonts w:hint="eastAsia" w:ascii="宋体"/>
                <w:snapToGrid w:val="0"/>
              </w:rPr>
              <w:t>竞争性磋商</w:t>
            </w:r>
            <w:r>
              <w:rPr>
                <w:rFonts w:hint="eastAsia" w:ascii="宋体" w:cs="楷体"/>
                <w:spacing w:val="4"/>
              </w:rPr>
              <w:t>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tc>
      </w:tr>
      <w:tr w14:paraId="0B8A1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6" w:hRule="atLeast"/>
          <w:jc w:val="center"/>
        </w:trPr>
        <w:tc>
          <w:tcPr>
            <w:tcW w:w="2516" w:type="dxa"/>
            <w:vMerge w:val="continue"/>
          </w:tcPr>
          <w:p w14:paraId="55A4C818"/>
        </w:tc>
        <w:tc>
          <w:tcPr>
            <w:tcW w:w="7162" w:type="dxa"/>
            <w:gridSpan w:val="3"/>
            <w:tcBorders>
              <w:top w:val="nil"/>
            </w:tcBorders>
          </w:tcPr>
          <w:p w14:paraId="530DB7AA">
            <w:pPr>
              <w:spacing w:before="59" w:line="250" w:lineRule="auto"/>
              <w:ind w:left="108" w:firstLine="475"/>
              <w:jc w:val="left"/>
              <w:rPr>
                <w:rFonts w:ascii="宋体" w:cs="楷体"/>
                <w:spacing w:val="4"/>
              </w:rPr>
            </w:pPr>
            <w:r>
              <w:rPr>
                <w:rFonts w:hint="eastAsia" w:ascii="宋体" w:cs="楷体"/>
                <w:spacing w:val="4"/>
              </w:rPr>
              <w:t xml:space="preserve">                     供应商名称（盖章）：</w:t>
            </w:r>
          </w:p>
          <w:p w14:paraId="77D261C8">
            <w:pPr>
              <w:spacing w:before="59" w:line="250" w:lineRule="auto"/>
              <w:ind w:left="108" w:firstLine="475"/>
              <w:jc w:val="left"/>
              <w:rPr>
                <w:rFonts w:ascii="宋体" w:cs="楷体"/>
                <w:spacing w:val="4"/>
              </w:rPr>
            </w:pPr>
            <w:r>
              <w:rPr>
                <w:rFonts w:hint="eastAsia" w:ascii="宋体" w:cs="楷体"/>
                <w:spacing w:val="4"/>
              </w:rPr>
              <w:t xml:space="preserve">                     法定代表人（签字）：</w:t>
            </w:r>
          </w:p>
          <w:p w14:paraId="72ADC42B">
            <w:pPr>
              <w:spacing w:before="59" w:line="250" w:lineRule="auto"/>
              <w:ind w:left="108" w:firstLine="475"/>
              <w:jc w:val="left"/>
              <w:rPr>
                <w:rFonts w:ascii="宋体" w:cs="楷体"/>
                <w:spacing w:val="4"/>
              </w:rPr>
            </w:pPr>
            <w:r>
              <w:rPr>
                <w:rFonts w:hint="eastAsia" w:ascii="宋体" w:cs="楷体"/>
                <w:spacing w:val="4"/>
              </w:rPr>
              <w:t xml:space="preserve">                     二○    年   月    日</w:t>
            </w:r>
          </w:p>
        </w:tc>
      </w:tr>
    </w:tbl>
    <w:p w14:paraId="7A63121D">
      <w:pPr>
        <w:autoSpaceDE w:val="0"/>
        <w:autoSpaceDN w:val="0"/>
        <w:spacing w:line="300" w:lineRule="exact"/>
        <w:jc w:val="left"/>
        <w:rPr>
          <w:rFonts w:ascii="宋体" w:cs="宋体"/>
          <w:spacing w:val="-1"/>
          <w:sz w:val="28"/>
          <w:szCs w:val="28"/>
        </w:rPr>
      </w:pPr>
    </w:p>
    <w:p w14:paraId="4A775819">
      <w:pPr>
        <w:widowControl/>
        <w:jc w:val="left"/>
        <w:rPr>
          <w:rFonts w:ascii="宋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5569081"/>
      <w:docPartObj>
        <w:docPartGallery w:val="autotext"/>
      </w:docPartObj>
    </w:sdtPr>
    <w:sdtContent>
      <w:p w14:paraId="6F0FF17F">
        <w:pPr>
          <w:pStyle w:val="12"/>
          <w:jc w:val="center"/>
        </w:pPr>
        <w:r>
          <w:fldChar w:fldCharType="begin"/>
        </w:r>
        <w:r>
          <w:instrText xml:space="preserve">PAGE   \* MERGEFORMAT</w:instrText>
        </w:r>
        <w:r>
          <w:fldChar w:fldCharType="separate"/>
        </w:r>
        <w:r>
          <w:rPr>
            <w:lang w:val="zh-CN"/>
          </w:rPr>
          <w:t>8</w:t>
        </w:r>
        <w:r>
          <w:fldChar w:fldCharType="end"/>
        </w:r>
      </w:p>
    </w:sdtContent>
  </w:sdt>
  <w:p w14:paraId="671857C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47B7A"/>
    <w:multiLevelType w:val="singleLevel"/>
    <w:tmpl w:val="C4747B7A"/>
    <w:lvl w:ilvl="0" w:tentative="0">
      <w:start w:val="1"/>
      <w:numFmt w:val="decimalEnclosedCircleChinese"/>
      <w:suff w:val="nothing"/>
      <w:lvlText w:val="%1　"/>
      <w:lvlJc w:val="left"/>
      <w:pPr>
        <w:ind w:left="0" w:firstLine="400"/>
      </w:pPr>
      <w:rPr>
        <w:rFonts w:hint="eastAsia"/>
      </w:rPr>
    </w:lvl>
  </w:abstractNum>
  <w:abstractNum w:abstractNumId="1">
    <w:nsid w:val="CF29E7BA"/>
    <w:multiLevelType w:val="singleLevel"/>
    <w:tmpl w:val="CF29E7BA"/>
    <w:lvl w:ilvl="0" w:tentative="0">
      <w:start w:val="1"/>
      <w:numFmt w:val="decimalEnclosedCircleChinese"/>
      <w:suff w:val="nothing"/>
      <w:lvlText w:val="%1　"/>
      <w:lvlJc w:val="left"/>
      <w:pPr>
        <w:ind w:left="0" w:firstLine="400"/>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dmN2MwNjZkMGZiMGJlOWE1Y2NlMjYxMGI3NWVlZWEifQ=="/>
  </w:docVars>
  <w:rsids>
    <w:rsidRoot w:val="00736727"/>
    <w:rsid w:val="00087D16"/>
    <w:rsid w:val="002335E7"/>
    <w:rsid w:val="004873FB"/>
    <w:rsid w:val="00554D43"/>
    <w:rsid w:val="00646521"/>
    <w:rsid w:val="006C04D3"/>
    <w:rsid w:val="00736727"/>
    <w:rsid w:val="00B36C52"/>
    <w:rsid w:val="00D445ED"/>
    <w:rsid w:val="00DA4611"/>
    <w:rsid w:val="0FB92FE4"/>
    <w:rsid w:val="1F6F851F"/>
    <w:rsid w:val="1F96146E"/>
    <w:rsid w:val="27FFB589"/>
    <w:rsid w:val="3FBFDA28"/>
    <w:rsid w:val="3FEF13FA"/>
    <w:rsid w:val="47BBFDCE"/>
    <w:rsid w:val="47FF4609"/>
    <w:rsid w:val="57CA3FDA"/>
    <w:rsid w:val="5AF67623"/>
    <w:rsid w:val="5EFF60A5"/>
    <w:rsid w:val="6FC56DFD"/>
    <w:rsid w:val="72FFCEAC"/>
    <w:rsid w:val="76FFE83E"/>
    <w:rsid w:val="7B7F55F5"/>
    <w:rsid w:val="7DFB73EB"/>
    <w:rsid w:val="7E97857A"/>
    <w:rsid w:val="7EFE3687"/>
    <w:rsid w:val="7F75AE15"/>
    <w:rsid w:val="7FFFFE22"/>
    <w:rsid w:val="AF1E46DA"/>
    <w:rsid w:val="BB2F8150"/>
    <w:rsid w:val="BD7F1D34"/>
    <w:rsid w:val="BFD7B1B9"/>
    <w:rsid w:val="BFF7E63F"/>
    <w:rsid w:val="D3BF2D7F"/>
    <w:rsid w:val="D6FEC4DE"/>
    <w:rsid w:val="D76DEA37"/>
    <w:rsid w:val="D9F77431"/>
    <w:rsid w:val="DB6ACE7B"/>
    <w:rsid w:val="DDBB526B"/>
    <w:rsid w:val="DF3D5E0C"/>
    <w:rsid w:val="EB8F6755"/>
    <w:rsid w:val="ECF8CF2E"/>
    <w:rsid w:val="EDF715F2"/>
    <w:rsid w:val="EFEF739A"/>
    <w:rsid w:val="F1D72FB1"/>
    <w:rsid w:val="F5DBC37C"/>
    <w:rsid w:val="F7E78DFC"/>
    <w:rsid w:val="F87711A1"/>
    <w:rsid w:val="FB7F2DB5"/>
    <w:rsid w:val="FBFD7395"/>
    <w:rsid w:val="FDF7F29C"/>
    <w:rsid w:val="FDFB9E00"/>
    <w:rsid w:val="FEDFE95C"/>
    <w:rsid w:val="FF924D4C"/>
    <w:rsid w:val="FFBB665D"/>
    <w:rsid w:val="FFFB5210"/>
    <w:rsid w:val="FFFD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4"/>
    <w:qFormat/>
    <w:uiPriority w:val="0"/>
    <w:pPr>
      <w:keepNext/>
      <w:keepLines/>
      <w:spacing w:before="120" w:after="120"/>
      <w:jc w:val="left"/>
      <w:outlineLvl w:val="1"/>
    </w:pPr>
    <w:rPr>
      <w:rFonts w:ascii="宋体"/>
      <w:b/>
      <w:szCs w:val="24"/>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w:basedOn w:val="1"/>
    <w:qFormat/>
    <w:uiPriority w:val="0"/>
    <w:rPr>
      <w:rFonts w:ascii="楷体_GB2312" w:eastAsia="楷体_GB2312" w:cs="宋体"/>
      <w:kern w:val="0"/>
      <w:sz w:val="28"/>
      <w:szCs w:val="20"/>
      <w:lang w:val="zh-CN"/>
    </w:rPr>
  </w:style>
  <w:style w:type="paragraph" w:styleId="8">
    <w:name w:val="Body Text Indent"/>
    <w:basedOn w:val="1"/>
    <w:qFormat/>
    <w:uiPriority w:val="0"/>
    <w:pPr>
      <w:spacing w:after="120"/>
      <w:ind w:left="200" w:leftChars="200"/>
    </w:pPr>
  </w:style>
  <w:style w:type="paragraph" w:styleId="9">
    <w:name w:val="List Bullet 2"/>
    <w:basedOn w:val="1"/>
    <w:qFormat/>
    <w:uiPriority w:val="0"/>
    <w:pPr>
      <w:tabs>
        <w:tab w:val="left" w:pos="780"/>
      </w:tabs>
      <w:ind w:left="780" w:hanging="360"/>
    </w:pPr>
    <w:rPr>
      <w:rFonts w:ascii="Verdana" w:hAnsi="Verdana"/>
      <w:szCs w:val="20"/>
    </w:rPr>
  </w:style>
  <w:style w:type="paragraph" w:styleId="10">
    <w:name w:val="Plain Text"/>
    <w:basedOn w:val="1"/>
    <w:qFormat/>
    <w:uiPriority w:val="0"/>
    <w:rPr>
      <w:rFonts w:cs="Courier New"/>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jc w:val="left"/>
    </w:pPr>
    <w:rPr>
      <w:rFonts w:ascii="宋体" w:cs="宋体"/>
      <w:kern w:val="0"/>
      <w:sz w:val="24"/>
      <w:szCs w:val="24"/>
    </w:rPr>
  </w:style>
  <w:style w:type="paragraph" w:styleId="15">
    <w:name w:val="annotation subject"/>
    <w:basedOn w:val="6"/>
    <w:next w:val="6"/>
    <w:qFormat/>
    <w:uiPriority w:val="0"/>
    <w:rPr>
      <w:b/>
      <w:bCs/>
    </w:rPr>
  </w:style>
  <w:style w:type="paragraph" w:styleId="16">
    <w:name w:val="Body Text First Indent 2"/>
    <w:basedOn w:val="8"/>
    <w:qFormat/>
    <w:uiPriority w:val="0"/>
    <w:pPr>
      <w:spacing w:line="360" w:lineRule="auto"/>
      <w:ind w:firstLine="200" w:firstLineChars="200"/>
      <w:jc w:val="left"/>
    </w:pPr>
    <w:rPr>
      <w:sz w:val="24"/>
      <w:szCs w:val="24"/>
    </w:rPr>
  </w:style>
  <w:style w:type="character" w:styleId="19">
    <w:name w:val="annotation reference"/>
    <w:basedOn w:val="18"/>
    <w:qFormat/>
    <w:uiPriority w:val="0"/>
    <w:rPr>
      <w:sz w:val="21"/>
      <w:szCs w:val="21"/>
    </w:rPr>
  </w:style>
  <w:style w:type="paragraph" w:styleId="20">
    <w:name w:val="List Paragraph"/>
    <w:basedOn w:val="1"/>
    <w:qFormat/>
    <w:uiPriority w:val="0"/>
    <w:pPr>
      <w:ind w:firstLine="200" w:firstLineChars="200"/>
    </w:pPr>
  </w:style>
  <w:style w:type="paragraph" w:customStyle="1" w:styleId="21">
    <w:name w:val="样式 标题 2 + 黑色 行距: 1.5 倍行距"/>
    <w:basedOn w:val="3"/>
    <w:qFormat/>
    <w:uiPriority w:val="0"/>
    <w:pPr>
      <w:spacing w:before="260" w:after="260" w:line="360" w:lineRule="auto"/>
      <w:jc w:val="both"/>
    </w:pPr>
    <w:rPr>
      <w:rFonts w:ascii="Arial" w:hAnsi="Arial" w:cs="宋体"/>
      <w:bCs/>
      <w:color w:val="000000"/>
      <w:sz w:val="32"/>
      <w:szCs w:val="32"/>
    </w:rPr>
  </w:style>
  <w:style w:type="paragraph" w:customStyle="1" w:styleId="22">
    <w:name w:val="Table Paragraph"/>
    <w:basedOn w:val="1"/>
    <w:qFormat/>
    <w:uiPriority w:val="0"/>
    <w:rPr>
      <w:rFonts w:ascii="宋体" w:cs="宋体"/>
      <w:szCs w:val="24"/>
      <w:lang w:val="zh-CN" w:bidi="zh-CN"/>
    </w:rPr>
  </w:style>
  <w:style w:type="paragraph" w:customStyle="1" w:styleId="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正文文本_"/>
    <w:link w:val="25"/>
    <w:unhideWhenUsed/>
    <w:qFormat/>
    <w:uiPriority w:val="99"/>
    <w:rPr>
      <w:rFonts w:ascii="楷体_GB2312" w:hAnsi="Arial" w:eastAsia="楷体_GB2312" w:cs="Times New Roman"/>
      <w:sz w:val="28"/>
      <w:szCs w:val="28"/>
    </w:rPr>
  </w:style>
  <w:style w:type="paragraph" w:customStyle="1" w:styleId="25">
    <w:name w:val="正文文本1"/>
    <w:basedOn w:val="1"/>
    <w:link w:val="24"/>
    <w:qFormat/>
    <w:uiPriority w:val="0"/>
    <w:rPr>
      <w:rFonts w:ascii="楷体_GB2312" w:hAnsi="Arial" w:eastAsia="楷体_GB2312" w:cs="Times New Roman"/>
      <w:sz w:val="28"/>
      <w:szCs w:val="28"/>
    </w:rPr>
  </w:style>
  <w:style w:type="paragraph" w:customStyle="1" w:styleId="26">
    <w:name w:val="Default"/>
    <w:next w:val="1"/>
    <w:qFormat/>
    <w:uiPriority w:val="0"/>
    <w:pPr>
      <w:widowControl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1707</Words>
  <Characters>9735</Characters>
  <Lines>81</Lines>
  <Paragraphs>22</Paragraphs>
  <TotalTime>47</TotalTime>
  <ScaleCrop>false</ScaleCrop>
  <LinksUpToDate>false</LinksUpToDate>
  <CharactersWithSpaces>11420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2024-03-08T17:28:00Z</dcterms:created>
  <dc:creator>陆玲玲</dc:creator>
  <cp:lastModifiedBy>user</cp:lastModifiedBy>
  <cp:lastPrinted>2022-06-19T18:24:00Z</cp:lastPrinted>
  <dcterms:modified xsi:type="dcterms:W3CDTF">2025-11-14T15:42:47Z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AD2BD563DB0FF3596F520D6980415432_42</vt:lpwstr>
  </property>
</Properties>
</file>